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F55" w:rsidRPr="00997F55" w:rsidRDefault="00997F55" w:rsidP="00997F55">
      <w:pPr>
        <w:jc w:val="center"/>
        <w:rPr>
          <w:rFonts w:asciiTheme="minorHAnsi" w:hAnsiTheme="minorHAnsi" w:cstheme="minorHAnsi"/>
          <w:b/>
          <w:bCs/>
          <w:sz w:val="36"/>
          <w:szCs w:val="36"/>
        </w:rPr>
      </w:pPr>
    </w:p>
    <w:p w:rsidR="00997F55" w:rsidRPr="00997F55" w:rsidRDefault="00997F55" w:rsidP="00997F55">
      <w:pPr>
        <w:jc w:val="center"/>
        <w:rPr>
          <w:rFonts w:asciiTheme="minorHAnsi" w:hAnsiTheme="minorHAnsi" w:cstheme="minorHAnsi"/>
          <w:b/>
          <w:bCs/>
          <w:sz w:val="36"/>
          <w:szCs w:val="36"/>
        </w:rPr>
      </w:pPr>
      <w:r w:rsidRPr="00997F55">
        <w:rPr>
          <w:rFonts w:asciiTheme="minorHAnsi" w:hAnsiTheme="minorHAnsi" w:cstheme="minorHAnsi"/>
          <w:b/>
          <w:bCs/>
          <w:sz w:val="36"/>
          <w:szCs w:val="36"/>
        </w:rPr>
        <w:t xml:space="preserve">SMĚRNICE Č. </w:t>
      </w:r>
      <w:r w:rsidR="0064110F">
        <w:rPr>
          <w:rFonts w:asciiTheme="minorHAnsi" w:hAnsiTheme="minorHAnsi" w:cstheme="minorHAnsi"/>
          <w:b/>
          <w:bCs/>
          <w:sz w:val="36"/>
          <w:szCs w:val="36"/>
        </w:rPr>
        <w:t>01/2019</w:t>
      </w:r>
    </w:p>
    <w:p w:rsidR="00997F55" w:rsidRPr="00997F55" w:rsidRDefault="00997F55" w:rsidP="00997F55">
      <w:pPr>
        <w:jc w:val="center"/>
        <w:rPr>
          <w:rFonts w:asciiTheme="minorHAnsi" w:hAnsiTheme="minorHAnsi" w:cstheme="minorHAnsi"/>
          <w:b/>
          <w:bCs/>
          <w:sz w:val="36"/>
          <w:szCs w:val="36"/>
        </w:rPr>
      </w:pPr>
    </w:p>
    <w:p w:rsidR="00997F55" w:rsidRPr="00997F55" w:rsidRDefault="00997F55" w:rsidP="00997F55">
      <w:pPr>
        <w:jc w:val="center"/>
        <w:rPr>
          <w:rFonts w:asciiTheme="minorHAnsi" w:hAnsiTheme="minorHAnsi" w:cstheme="minorHAnsi"/>
          <w:b/>
          <w:bCs/>
          <w:sz w:val="36"/>
          <w:szCs w:val="36"/>
        </w:rPr>
      </w:pPr>
      <w:r w:rsidRPr="00997F55">
        <w:rPr>
          <w:rFonts w:asciiTheme="minorHAnsi" w:hAnsiTheme="minorHAnsi" w:cstheme="minorHAnsi"/>
          <w:b/>
          <w:bCs/>
          <w:sz w:val="36"/>
          <w:szCs w:val="36"/>
        </w:rPr>
        <w:t>PRAVIDLA A POSTUP NÁJMU OBECNÍCH BYTŮ</w:t>
      </w: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sz w:val="28"/>
          <w:szCs w:val="28"/>
        </w:rPr>
      </w:pPr>
      <w:r w:rsidRPr="00997F55">
        <w:rPr>
          <w:rFonts w:asciiTheme="minorHAnsi" w:hAnsiTheme="minorHAnsi" w:cstheme="minorHAnsi"/>
          <w:sz w:val="28"/>
          <w:szCs w:val="28"/>
        </w:rPr>
        <w:t>Obsah</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Úvodní ustanovení</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Evidence žadatelů o byt</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Výjimečné přidělení bytu</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Uzavírání nájemních smluv</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Nájemné</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Sleva na nájemném</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Podnájem</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Výměna bytů</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Běžná údržba bytu a drobné opravy související s užíváním bytu</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Závěrečná ustanovení</w:t>
      </w:r>
    </w:p>
    <w:p w:rsidR="00997F55" w:rsidRPr="00997F55" w:rsidRDefault="00997F55" w:rsidP="00997F55">
      <w:pPr>
        <w:pStyle w:val="Odstavecseseznamem"/>
        <w:numPr>
          <w:ilvl w:val="0"/>
          <w:numId w:val="6"/>
        </w:numPr>
        <w:jc w:val="both"/>
        <w:rPr>
          <w:rFonts w:asciiTheme="minorHAnsi" w:hAnsiTheme="minorHAnsi" w:cstheme="minorHAnsi"/>
        </w:rPr>
      </w:pPr>
      <w:r w:rsidRPr="00997F55">
        <w:rPr>
          <w:rFonts w:asciiTheme="minorHAnsi" w:hAnsiTheme="minorHAnsi" w:cstheme="minorHAnsi"/>
        </w:rPr>
        <w:t>Seznam příloh</w:t>
      </w: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p w:rsidR="00997F55" w:rsidRPr="00997F55" w:rsidRDefault="00997F55" w:rsidP="00997F55">
      <w:pPr>
        <w:jc w:val="both"/>
        <w:rPr>
          <w:rFonts w:asciiTheme="minorHAnsi" w:hAnsiTheme="minorHAnsi" w:cstheme="minorHAnsi"/>
        </w:rPr>
      </w:pPr>
    </w:p>
    <w:tbl>
      <w:tblPr>
        <w:tblStyle w:val="Mkatabulky"/>
        <w:tblW w:w="9150" w:type="dxa"/>
        <w:tblLook w:val="04A0" w:firstRow="1" w:lastRow="0" w:firstColumn="1" w:lastColumn="0" w:noHBand="0" w:noVBand="1"/>
      </w:tblPr>
      <w:tblGrid>
        <w:gridCol w:w="1413"/>
        <w:gridCol w:w="1812"/>
        <w:gridCol w:w="2299"/>
        <w:gridCol w:w="1813"/>
        <w:gridCol w:w="1813"/>
      </w:tblGrid>
      <w:tr w:rsidR="00997F55" w:rsidRPr="00997F55" w:rsidTr="00997F55">
        <w:tc>
          <w:tcPr>
            <w:tcW w:w="1413" w:type="dxa"/>
          </w:tcPr>
          <w:p w:rsidR="00997F55" w:rsidRPr="00997F55" w:rsidRDefault="00997F55" w:rsidP="008C4EFE">
            <w:pPr>
              <w:jc w:val="both"/>
              <w:rPr>
                <w:rFonts w:asciiTheme="minorHAnsi" w:hAnsiTheme="minorHAnsi" w:cstheme="minorHAnsi"/>
              </w:rPr>
            </w:pPr>
          </w:p>
        </w:tc>
        <w:tc>
          <w:tcPr>
            <w:tcW w:w="1812"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funkce</w:t>
            </w:r>
          </w:p>
        </w:tc>
        <w:tc>
          <w:tcPr>
            <w:tcW w:w="2299"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jméno</w:t>
            </w:r>
          </w:p>
        </w:tc>
        <w:tc>
          <w:tcPr>
            <w:tcW w:w="18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datum</w:t>
            </w:r>
          </w:p>
        </w:tc>
        <w:tc>
          <w:tcPr>
            <w:tcW w:w="18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Podpis</w:t>
            </w:r>
          </w:p>
        </w:tc>
      </w:tr>
      <w:tr w:rsidR="00997F55" w:rsidRPr="00997F55" w:rsidTr="00997F55">
        <w:tc>
          <w:tcPr>
            <w:tcW w:w="14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Zpracovala</w:t>
            </w:r>
          </w:p>
        </w:tc>
        <w:tc>
          <w:tcPr>
            <w:tcW w:w="1812"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místostarostka</w:t>
            </w:r>
          </w:p>
        </w:tc>
        <w:tc>
          <w:tcPr>
            <w:tcW w:w="2299"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Ing. Markéta Jelínková</w:t>
            </w:r>
          </w:p>
        </w:tc>
        <w:tc>
          <w:tcPr>
            <w:tcW w:w="1813" w:type="dxa"/>
          </w:tcPr>
          <w:p w:rsidR="00997F55" w:rsidRPr="00997F55" w:rsidRDefault="00997F55" w:rsidP="008C4EFE">
            <w:pPr>
              <w:jc w:val="both"/>
              <w:rPr>
                <w:rFonts w:asciiTheme="minorHAnsi" w:hAnsiTheme="minorHAnsi" w:cstheme="minorHAnsi"/>
              </w:rPr>
            </w:pPr>
          </w:p>
        </w:tc>
        <w:tc>
          <w:tcPr>
            <w:tcW w:w="1813" w:type="dxa"/>
          </w:tcPr>
          <w:p w:rsidR="00997F55" w:rsidRPr="00997F55" w:rsidRDefault="00997F55" w:rsidP="008C4EFE">
            <w:pPr>
              <w:jc w:val="both"/>
              <w:rPr>
                <w:rFonts w:asciiTheme="minorHAnsi" w:hAnsiTheme="minorHAnsi" w:cstheme="minorHAnsi"/>
              </w:rPr>
            </w:pPr>
          </w:p>
        </w:tc>
      </w:tr>
      <w:tr w:rsidR="00997F55" w:rsidRPr="00997F55" w:rsidTr="00997F55">
        <w:tc>
          <w:tcPr>
            <w:tcW w:w="14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Ověřil</w:t>
            </w:r>
          </w:p>
        </w:tc>
        <w:tc>
          <w:tcPr>
            <w:tcW w:w="1812"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starosta</w:t>
            </w:r>
          </w:p>
        </w:tc>
        <w:tc>
          <w:tcPr>
            <w:tcW w:w="2299"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Miloš Innert</w:t>
            </w:r>
          </w:p>
        </w:tc>
        <w:tc>
          <w:tcPr>
            <w:tcW w:w="1813" w:type="dxa"/>
          </w:tcPr>
          <w:p w:rsidR="00997F55" w:rsidRPr="00997F55" w:rsidRDefault="00997F55" w:rsidP="008C4EFE">
            <w:pPr>
              <w:jc w:val="both"/>
              <w:rPr>
                <w:rFonts w:asciiTheme="minorHAnsi" w:hAnsiTheme="minorHAnsi" w:cstheme="minorHAnsi"/>
              </w:rPr>
            </w:pPr>
          </w:p>
        </w:tc>
        <w:tc>
          <w:tcPr>
            <w:tcW w:w="1813" w:type="dxa"/>
          </w:tcPr>
          <w:p w:rsidR="00997F55" w:rsidRPr="00997F55" w:rsidRDefault="00997F55" w:rsidP="008C4EFE">
            <w:pPr>
              <w:jc w:val="both"/>
              <w:rPr>
                <w:rFonts w:asciiTheme="minorHAnsi" w:hAnsiTheme="minorHAnsi" w:cstheme="minorHAnsi"/>
              </w:rPr>
            </w:pPr>
          </w:p>
        </w:tc>
      </w:tr>
      <w:tr w:rsidR="00997F55" w:rsidRPr="00997F55" w:rsidTr="00997F55">
        <w:tc>
          <w:tcPr>
            <w:tcW w:w="14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Schválilo</w:t>
            </w:r>
          </w:p>
        </w:tc>
        <w:tc>
          <w:tcPr>
            <w:tcW w:w="7737" w:type="dxa"/>
            <w:gridSpan w:val="4"/>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Zastupitelstvo obce Heřmanice</w:t>
            </w:r>
          </w:p>
        </w:tc>
      </w:tr>
      <w:tr w:rsidR="00997F55" w:rsidRPr="00997F55" w:rsidTr="00997F55">
        <w:tc>
          <w:tcPr>
            <w:tcW w:w="1413" w:type="dxa"/>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Účinnost od</w:t>
            </w:r>
          </w:p>
        </w:tc>
        <w:tc>
          <w:tcPr>
            <w:tcW w:w="7737" w:type="dxa"/>
            <w:gridSpan w:val="4"/>
          </w:tcPr>
          <w:p w:rsidR="00997F55" w:rsidRPr="00997F55" w:rsidRDefault="00997F55" w:rsidP="008C4EFE">
            <w:pPr>
              <w:jc w:val="both"/>
              <w:rPr>
                <w:rFonts w:asciiTheme="minorHAnsi" w:hAnsiTheme="minorHAnsi" w:cstheme="minorHAnsi"/>
              </w:rPr>
            </w:pPr>
            <w:r w:rsidRPr="00997F55">
              <w:rPr>
                <w:rFonts w:asciiTheme="minorHAnsi" w:hAnsiTheme="minorHAnsi" w:cstheme="minorHAnsi"/>
              </w:rPr>
              <w:t>1. 1. 2020</w:t>
            </w:r>
          </w:p>
        </w:tc>
      </w:tr>
    </w:tbl>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lastRenderedPageBreak/>
        <w:t>Článek I.</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Úvodní ustanovení</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 xml:space="preserve">Tato pravidla upravují evidenci a posuzování žádostí o byt a stanovují postup při uzavírání nájemních smluv k bytům ve vlastnictví obce Heřmanice s místními částmi </w:t>
      </w:r>
      <w:proofErr w:type="spellStart"/>
      <w:r w:rsidRPr="00997F55">
        <w:rPr>
          <w:rFonts w:asciiTheme="minorHAnsi" w:hAnsiTheme="minorHAnsi" w:cstheme="minorHAnsi"/>
        </w:rPr>
        <w:t>Běluň</w:t>
      </w:r>
      <w:proofErr w:type="spellEnd"/>
      <w:r w:rsidRPr="00997F55">
        <w:rPr>
          <w:rFonts w:asciiTheme="minorHAnsi" w:hAnsiTheme="minorHAnsi" w:cstheme="minorHAnsi"/>
        </w:rPr>
        <w:t>, Brod a Slotov (dále jen obec).</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Za byt se pro účely těchto pravidel považuje místnost, nebo soubor místností, které jsou podle rozhodnutí stavebního úřadu určeny k bydlení, mohou k tomuto účelu sloužit jako samostatné bytové jednotky a nacházejí se v domech, které jsou ve vlastnictví obce.</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K podání žádosti slouží formulář, který je přílohou č. 1 těchto pravidel. K žádosti o přidělení bytu podané jinou formou se nepřihlíží.</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Pronajímatel je obec se sídlem Heřmanice 13, 552 12 Heřmanice, IČ 002 72 647, jako vlastník bytů zapsaných ve veřejném seznamu na listu vlastnictví.</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Nájemce je osoba, se kterou obec má uzavřenu písemnou nájemní smlouvu na nájem bytu.</w:t>
      </w:r>
    </w:p>
    <w:p w:rsidR="00997F55" w:rsidRPr="00997F55" w:rsidRDefault="00997F55" w:rsidP="00997F55">
      <w:pPr>
        <w:pStyle w:val="Odstavecseseznamem"/>
        <w:numPr>
          <w:ilvl w:val="0"/>
          <w:numId w:val="8"/>
        </w:numPr>
        <w:jc w:val="both"/>
        <w:rPr>
          <w:rFonts w:asciiTheme="minorHAnsi" w:hAnsiTheme="minorHAnsi" w:cstheme="minorHAnsi"/>
        </w:rPr>
      </w:pPr>
      <w:r w:rsidRPr="00997F55">
        <w:rPr>
          <w:rFonts w:asciiTheme="minorHAnsi" w:hAnsiTheme="minorHAnsi" w:cstheme="minorHAnsi"/>
        </w:rPr>
        <w:t>Za společně posuzované osoby se považují osoby, které budou užívat byt společně s žadatelem.</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II.</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Evidence žadatelů o byt</w:t>
      </w:r>
    </w:p>
    <w:p w:rsidR="00997F55" w:rsidRPr="00997F55" w:rsidRDefault="00997F55" w:rsidP="00997F55">
      <w:pPr>
        <w:pStyle w:val="Odstavecseseznamem"/>
        <w:numPr>
          <w:ilvl w:val="0"/>
          <w:numId w:val="9"/>
        </w:numPr>
        <w:jc w:val="both"/>
        <w:rPr>
          <w:rFonts w:asciiTheme="minorHAnsi" w:hAnsiTheme="minorHAnsi" w:cstheme="minorHAnsi"/>
        </w:rPr>
      </w:pPr>
      <w:r w:rsidRPr="00997F55">
        <w:rPr>
          <w:rFonts w:asciiTheme="minorHAnsi" w:hAnsiTheme="minorHAnsi" w:cstheme="minorHAnsi"/>
        </w:rPr>
        <w:t>Žadatel o byt, musí splňovat následující podmínky:</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je zletilý a svéprávný;</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je přihlášen k trvalému pobytu v obci,</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žadatel nemá a nikdy neměl výpověď z nájmu bytu pro hrubé porušení svých povinností vyplývajících z užívání bytu spočívajících v tom, že neuhradil nájemné nebo úhrady za plnění spojená s užíváním bytu, případně s ním nebyl z těchto důvodů ukončen nájemní nebo obdobný poměr jiným způsobem (např. uplynutím doby u nájemních poměrů sjednaných na dobu určitou);</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žadatel nebyl řešen správním orgánem pro stížnost v souvislosti s užíváním bytu a nezpůsobil obci škodu na majetku;</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žadatel neobýval v minulosti neoprávněně obecní byt nebo jiné prostory;</w:t>
      </w:r>
    </w:p>
    <w:p w:rsidR="00997F55" w:rsidRPr="00997F55" w:rsidRDefault="00997F55" w:rsidP="00997F55">
      <w:pPr>
        <w:pStyle w:val="Odstavecseseznamem"/>
        <w:numPr>
          <w:ilvl w:val="0"/>
          <w:numId w:val="7"/>
        </w:numPr>
        <w:jc w:val="both"/>
        <w:rPr>
          <w:rFonts w:asciiTheme="minorHAnsi" w:hAnsiTheme="minorHAnsi" w:cstheme="minorHAnsi"/>
        </w:rPr>
      </w:pPr>
      <w:r w:rsidRPr="00997F55">
        <w:rPr>
          <w:rFonts w:asciiTheme="minorHAnsi" w:hAnsiTheme="minorHAnsi" w:cstheme="minorHAnsi"/>
        </w:rPr>
        <w:t>žadatel nemá žádné splatné závazky vůči obci.</w:t>
      </w:r>
    </w:p>
    <w:p w:rsidR="00997F55" w:rsidRPr="00997F55" w:rsidRDefault="00997F55" w:rsidP="00997F55">
      <w:pPr>
        <w:pStyle w:val="Odstavecseseznamem"/>
        <w:numPr>
          <w:ilvl w:val="0"/>
          <w:numId w:val="9"/>
        </w:numPr>
        <w:jc w:val="both"/>
        <w:rPr>
          <w:rFonts w:asciiTheme="minorHAnsi" w:hAnsiTheme="minorHAnsi" w:cstheme="minorHAnsi"/>
        </w:rPr>
      </w:pPr>
      <w:r w:rsidRPr="00997F55">
        <w:rPr>
          <w:rFonts w:asciiTheme="minorHAnsi" w:hAnsiTheme="minorHAnsi" w:cstheme="minorHAnsi"/>
        </w:rPr>
        <w:t>Žadatel je povinen vyplnit žádost (formulář) řádně, úplně a pravdivě. Každá podaná žádost o přidělení bytu bude posouzena se stanovenými podmínkami přijetí žádosti. Při prokázaném uvedení nesprávných nebo neúplných údajů</w:t>
      </w:r>
      <w:r w:rsidR="0034778F">
        <w:rPr>
          <w:rFonts w:asciiTheme="minorHAnsi" w:hAnsiTheme="minorHAnsi" w:cstheme="minorHAnsi"/>
        </w:rPr>
        <w:t xml:space="preserve"> bude</w:t>
      </w:r>
      <w:r w:rsidRPr="00997F55">
        <w:rPr>
          <w:rFonts w:asciiTheme="minorHAnsi" w:hAnsiTheme="minorHAnsi" w:cstheme="minorHAnsi"/>
        </w:rPr>
        <w:t xml:space="preserve"> žadatel vyzván k doložení chybějících údajů a dokladů v termínu stanoveném ve výzvě. Do doby doložení požadovaných dokladů nebude žádost vyřizována. Pokud se nesprávnost údajů uvedených žadatelem prokáže až po přidělení bytu, považuje se tato skutečnost za hrubé porušení povinností žadatele a v takovém případě nebude s žadatelem obnovena nájemní smlouva na další období.</w:t>
      </w:r>
    </w:p>
    <w:p w:rsidR="00997F55" w:rsidRPr="00997F55" w:rsidRDefault="00997F55" w:rsidP="00997F55">
      <w:pPr>
        <w:pStyle w:val="Odstavecseseznamem"/>
        <w:numPr>
          <w:ilvl w:val="0"/>
          <w:numId w:val="9"/>
        </w:numPr>
        <w:jc w:val="both"/>
        <w:rPr>
          <w:rFonts w:asciiTheme="minorHAnsi" w:hAnsiTheme="minorHAnsi" w:cstheme="minorHAnsi"/>
        </w:rPr>
      </w:pPr>
      <w:r w:rsidRPr="00997F55">
        <w:rPr>
          <w:rFonts w:asciiTheme="minorHAnsi" w:hAnsiTheme="minorHAnsi" w:cstheme="minorHAnsi"/>
        </w:rPr>
        <w:t>Žádost nebude přijata v těchto případech:</w:t>
      </w:r>
    </w:p>
    <w:p w:rsidR="00997F55" w:rsidRPr="00997F55" w:rsidRDefault="00997F55" w:rsidP="00997F55">
      <w:pPr>
        <w:pStyle w:val="Odstavecseseznamem"/>
        <w:numPr>
          <w:ilvl w:val="0"/>
          <w:numId w:val="10"/>
        </w:numPr>
        <w:ind w:left="1134"/>
        <w:jc w:val="both"/>
        <w:rPr>
          <w:rFonts w:asciiTheme="minorHAnsi" w:hAnsiTheme="minorHAnsi" w:cstheme="minorHAnsi"/>
        </w:rPr>
      </w:pPr>
      <w:r w:rsidRPr="00997F55">
        <w:rPr>
          <w:rFonts w:asciiTheme="minorHAnsi" w:hAnsiTheme="minorHAnsi" w:cstheme="minorHAnsi"/>
        </w:rPr>
        <w:t>zjistí-li se, že žadatel nesplňuje podmínky pro podání žádosti;</w:t>
      </w:r>
    </w:p>
    <w:p w:rsidR="00997F55" w:rsidRPr="00997F55" w:rsidRDefault="00997F55" w:rsidP="00997F55">
      <w:pPr>
        <w:pStyle w:val="Odstavecseseznamem"/>
        <w:numPr>
          <w:ilvl w:val="0"/>
          <w:numId w:val="10"/>
        </w:numPr>
        <w:ind w:left="1134"/>
        <w:jc w:val="both"/>
        <w:rPr>
          <w:rFonts w:asciiTheme="minorHAnsi" w:hAnsiTheme="minorHAnsi" w:cstheme="minorHAnsi"/>
        </w:rPr>
      </w:pPr>
      <w:r w:rsidRPr="00997F55">
        <w:rPr>
          <w:rFonts w:asciiTheme="minorHAnsi" w:hAnsiTheme="minorHAnsi" w:cstheme="minorHAnsi"/>
        </w:rPr>
        <w:t>žadatel prokazatelně porušuje své povinnosti vyplývající z předcházejícího užívání bytu zejména tím, že neplatí nájemné nebo úhrady za plnění poskytovaná s užíváním bytu za dobu delší než tři měsíce (myšleno v předcházejícím bydlišti);</w:t>
      </w:r>
    </w:p>
    <w:p w:rsidR="00997F55" w:rsidRPr="00997F55" w:rsidRDefault="00997F55" w:rsidP="00997F55">
      <w:pPr>
        <w:pStyle w:val="Odstavecseseznamem"/>
        <w:numPr>
          <w:ilvl w:val="0"/>
          <w:numId w:val="10"/>
        </w:numPr>
        <w:ind w:left="1134"/>
        <w:jc w:val="both"/>
        <w:rPr>
          <w:rFonts w:asciiTheme="minorHAnsi" w:hAnsiTheme="minorHAnsi" w:cstheme="minorHAnsi"/>
        </w:rPr>
      </w:pPr>
      <w:r w:rsidRPr="00997F55">
        <w:rPr>
          <w:rFonts w:asciiTheme="minorHAnsi" w:hAnsiTheme="minorHAnsi" w:cstheme="minorHAnsi"/>
        </w:rPr>
        <w:t>žadatel nebo ti, kdo s ním bydlí, přes písemnou výstrahu hrubě porušovali dobré mravy v předcházejícím bydlišti;</w:t>
      </w:r>
    </w:p>
    <w:p w:rsidR="00997F55" w:rsidRPr="00997F55" w:rsidRDefault="00997F55" w:rsidP="00997F55">
      <w:pPr>
        <w:pStyle w:val="Odstavecseseznamem"/>
        <w:numPr>
          <w:ilvl w:val="0"/>
          <w:numId w:val="10"/>
        </w:numPr>
        <w:ind w:left="1134"/>
        <w:jc w:val="both"/>
        <w:rPr>
          <w:rFonts w:asciiTheme="minorHAnsi" w:hAnsiTheme="minorHAnsi" w:cstheme="minorHAnsi"/>
        </w:rPr>
      </w:pPr>
      <w:r w:rsidRPr="00997F55">
        <w:rPr>
          <w:rFonts w:asciiTheme="minorHAnsi" w:hAnsiTheme="minorHAnsi" w:cstheme="minorHAnsi"/>
        </w:rPr>
        <w:t>žadatel prokazatelně porušoval zákony, předpisy, nebo vyhlášky obce.</w:t>
      </w:r>
    </w:p>
    <w:p w:rsidR="00997F55" w:rsidRPr="00997F55" w:rsidRDefault="00997F55" w:rsidP="00997F55">
      <w:pPr>
        <w:pStyle w:val="Odstavecseseznamem"/>
        <w:numPr>
          <w:ilvl w:val="0"/>
          <w:numId w:val="9"/>
        </w:numPr>
        <w:jc w:val="both"/>
        <w:rPr>
          <w:rFonts w:asciiTheme="minorHAnsi" w:hAnsiTheme="minorHAnsi" w:cstheme="minorHAnsi"/>
        </w:rPr>
      </w:pPr>
      <w:r w:rsidRPr="00997F55">
        <w:rPr>
          <w:rFonts w:asciiTheme="minorHAnsi" w:hAnsiTheme="minorHAnsi" w:cstheme="minorHAnsi"/>
        </w:rPr>
        <w:lastRenderedPageBreak/>
        <w:t>Pokud byl byt přidělen žadateli na základě výjimky (viz čl. III) je povinen se do 5 pracovních dnů od uzavření nájemní smlouvy přihlásit k trvalému pobytu v obci.</w:t>
      </w:r>
    </w:p>
    <w:p w:rsidR="00997F55" w:rsidRPr="00997F55" w:rsidRDefault="00997F55" w:rsidP="00997F55">
      <w:pPr>
        <w:pStyle w:val="Odstavecseseznamem"/>
        <w:numPr>
          <w:ilvl w:val="0"/>
          <w:numId w:val="9"/>
        </w:numPr>
        <w:jc w:val="both"/>
        <w:rPr>
          <w:rFonts w:asciiTheme="minorHAnsi" w:hAnsiTheme="minorHAnsi" w:cstheme="minorHAnsi"/>
        </w:rPr>
      </w:pPr>
      <w:r w:rsidRPr="00997F55">
        <w:rPr>
          <w:rFonts w:asciiTheme="minorHAnsi" w:hAnsiTheme="minorHAnsi" w:cstheme="minorHAnsi"/>
        </w:rPr>
        <w:t>Pokud žadatel přidělený byt odmítne, nebo byt bez udání závažných důvodů nepřevezme ve stanoveném termínu, obec přidělení bytu zruší. Žadatel pak může další žádost o byt podat až po uplynutí doby 12 měsíců od data odmítnutí nebo nepřevzetí přiděleného bytu.</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III.</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Výjimečné přidělení bytu</w:t>
      </w:r>
    </w:p>
    <w:p w:rsidR="00997F55" w:rsidRPr="00997F55" w:rsidRDefault="00997F55" w:rsidP="00997F55">
      <w:pPr>
        <w:pStyle w:val="Odstavecseseznamem"/>
        <w:numPr>
          <w:ilvl w:val="0"/>
          <w:numId w:val="11"/>
        </w:numPr>
        <w:jc w:val="both"/>
        <w:rPr>
          <w:rFonts w:asciiTheme="minorHAnsi" w:hAnsiTheme="minorHAnsi" w:cstheme="minorHAnsi"/>
        </w:rPr>
      </w:pPr>
      <w:r w:rsidRPr="00997F55">
        <w:rPr>
          <w:rFonts w:asciiTheme="minorHAnsi" w:hAnsiTheme="minorHAnsi" w:cstheme="minorHAnsi"/>
        </w:rPr>
        <w:t>Starosta může na doporučení Bytové komise (dále jen komise) ve výjimečných případech přidělit byt i jinému občanovi s místem trvalého pobytu mimo obec, a to zejména v naléhavém případě způsobeném živelnou pohromou nebo jinými neočekávanými událostmi, nebo je-li to v zájmu obce.</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IV.</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Uzavírání nájemních smluv</w:t>
      </w:r>
    </w:p>
    <w:p w:rsidR="00997F55" w:rsidRPr="00997F55" w:rsidRDefault="00997F55" w:rsidP="00997F55">
      <w:pPr>
        <w:pStyle w:val="Odstavecseseznamem"/>
        <w:numPr>
          <w:ilvl w:val="0"/>
          <w:numId w:val="12"/>
        </w:numPr>
        <w:jc w:val="both"/>
        <w:rPr>
          <w:rFonts w:asciiTheme="minorHAnsi" w:hAnsiTheme="minorHAnsi" w:cstheme="minorHAnsi"/>
        </w:rPr>
      </w:pPr>
      <w:r w:rsidRPr="00997F55">
        <w:rPr>
          <w:rFonts w:asciiTheme="minorHAnsi" w:hAnsiTheme="minorHAnsi" w:cstheme="minorHAnsi"/>
        </w:rPr>
        <w:t>O přidělení bytu a uzavření smlouvy o nájmu bytu rozhodne starosta na základě doporučení komise. Přihlíží přitom k rodinným poměrům žadatele, zájmům obce, zdravotním a jiným důvodům.</w:t>
      </w:r>
    </w:p>
    <w:p w:rsidR="00997F55" w:rsidRPr="00997F55" w:rsidRDefault="00997F55" w:rsidP="00997F55">
      <w:pPr>
        <w:pStyle w:val="Odstavecseseznamem"/>
        <w:numPr>
          <w:ilvl w:val="0"/>
          <w:numId w:val="12"/>
        </w:numPr>
        <w:jc w:val="both"/>
        <w:rPr>
          <w:rFonts w:asciiTheme="minorHAnsi" w:hAnsiTheme="minorHAnsi" w:cstheme="minorHAnsi"/>
        </w:rPr>
      </w:pPr>
      <w:r w:rsidRPr="00997F55">
        <w:rPr>
          <w:rFonts w:asciiTheme="minorHAnsi" w:hAnsiTheme="minorHAnsi" w:cstheme="minorHAnsi"/>
        </w:rPr>
        <w:t>Rozhodne-li starosta o přidělení bytu a uzavření smlouvy o nájmu bytu, je žadatel písemně informován a vyzván k uzavření smlouvy o nájmu a následně k převzetí bytu.</w:t>
      </w:r>
    </w:p>
    <w:p w:rsidR="00997F55" w:rsidRPr="00997F55" w:rsidRDefault="00997F55" w:rsidP="00997F55">
      <w:pPr>
        <w:pStyle w:val="Odstavecseseznamem"/>
        <w:numPr>
          <w:ilvl w:val="0"/>
          <w:numId w:val="12"/>
        </w:numPr>
        <w:jc w:val="both"/>
        <w:rPr>
          <w:rFonts w:asciiTheme="minorHAnsi" w:hAnsiTheme="minorHAnsi" w:cstheme="minorHAnsi"/>
        </w:rPr>
      </w:pPr>
      <w:r w:rsidRPr="00997F55">
        <w:rPr>
          <w:rFonts w:asciiTheme="minorHAnsi" w:hAnsiTheme="minorHAnsi" w:cstheme="minorHAnsi"/>
        </w:rPr>
        <w:t xml:space="preserve">O převzetí bytu bude sepsán </w:t>
      </w:r>
      <w:r w:rsidR="0034778F">
        <w:rPr>
          <w:rFonts w:asciiTheme="minorHAnsi" w:hAnsiTheme="minorHAnsi" w:cstheme="minorHAnsi"/>
        </w:rPr>
        <w:t xml:space="preserve">předávací </w:t>
      </w:r>
      <w:r w:rsidRPr="00997F55">
        <w:rPr>
          <w:rFonts w:asciiTheme="minorHAnsi" w:hAnsiTheme="minorHAnsi" w:cstheme="minorHAnsi"/>
        </w:rPr>
        <w:t>protokol, ve kterém bude uveden popis skutečného stavu bytu a jeho vybavení.</w:t>
      </w:r>
    </w:p>
    <w:p w:rsidR="00997F55" w:rsidRPr="00997F55" w:rsidRDefault="00997F55" w:rsidP="00997F55">
      <w:pPr>
        <w:pStyle w:val="Odstavecseseznamem"/>
        <w:numPr>
          <w:ilvl w:val="0"/>
          <w:numId w:val="12"/>
        </w:numPr>
        <w:jc w:val="both"/>
        <w:rPr>
          <w:rFonts w:asciiTheme="minorHAnsi" w:hAnsiTheme="minorHAnsi" w:cstheme="minorHAnsi"/>
        </w:rPr>
      </w:pPr>
      <w:r w:rsidRPr="00997F55">
        <w:rPr>
          <w:rFonts w:asciiTheme="minorHAnsi" w:hAnsiTheme="minorHAnsi" w:cstheme="minorHAnsi"/>
        </w:rPr>
        <w:t xml:space="preserve">Ve smlouvě o nájmu bytu bude uveden rozsah užívání, </w:t>
      </w:r>
      <w:r w:rsidR="0034778F">
        <w:rPr>
          <w:rFonts w:asciiTheme="minorHAnsi" w:hAnsiTheme="minorHAnsi" w:cstheme="minorHAnsi"/>
        </w:rPr>
        <w:t>výše</w:t>
      </w:r>
      <w:r w:rsidRPr="00997F55">
        <w:rPr>
          <w:rFonts w:asciiTheme="minorHAnsi" w:hAnsiTheme="minorHAnsi" w:cstheme="minorHAnsi"/>
        </w:rPr>
        <w:t xml:space="preserve"> nájemného a jeho splatnosti, způsob úhrady za plnění spojená s užíváním bytu a jejich splatnost a další podmínky nájemního vztahu.</w:t>
      </w:r>
    </w:p>
    <w:p w:rsidR="00997F55" w:rsidRPr="00997F55" w:rsidRDefault="00997F55" w:rsidP="00997F55">
      <w:pPr>
        <w:pStyle w:val="Odstavecseseznamem"/>
        <w:numPr>
          <w:ilvl w:val="0"/>
          <w:numId w:val="12"/>
        </w:numPr>
        <w:jc w:val="both"/>
        <w:rPr>
          <w:rFonts w:asciiTheme="minorHAnsi" w:hAnsiTheme="minorHAnsi" w:cstheme="minorHAnsi"/>
        </w:rPr>
      </w:pPr>
      <w:r w:rsidRPr="00997F55">
        <w:rPr>
          <w:rFonts w:asciiTheme="minorHAnsi" w:hAnsiTheme="minorHAnsi" w:cstheme="minorHAnsi"/>
        </w:rPr>
        <w:t>Nájemní smlouva bude uzavřena na dobu určitou 1 rok. Po uplynutí doby určité bude pro případný následující nájemní poměr uplatňován následující postup:</w:t>
      </w:r>
    </w:p>
    <w:p w:rsidR="00997F55" w:rsidRPr="00997F55" w:rsidRDefault="00997F55" w:rsidP="00997F55">
      <w:pPr>
        <w:pStyle w:val="Odstavecseseznamem"/>
        <w:numPr>
          <w:ilvl w:val="0"/>
          <w:numId w:val="13"/>
        </w:numPr>
        <w:ind w:left="1134"/>
        <w:jc w:val="both"/>
        <w:rPr>
          <w:rFonts w:asciiTheme="minorHAnsi" w:hAnsiTheme="minorHAnsi" w:cstheme="minorHAnsi"/>
        </w:rPr>
      </w:pPr>
      <w:r w:rsidRPr="00997F55">
        <w:rPr>
          <w:rFonts w:asciiTheme="minorHAnsi" w:hAnsiTheme="minorHAnsi" w:cstheme="minorHAnsi"/>
        </w:rPr>
        <w:t>s nájemcem, u kterého v průběhu doby nájmu nevznikl žádný dluh a kde nedochází k poškozování majetku, porušování dobrých mravů a povinností nájemce souvisejících s jeho nájemním vztahem, bude nájemní poměr prodloužen na dobu určitou – 2 roky;</w:t>
      </w:r>
    </w:p>
    <w:p w:rsidR="00997F55" w:rsidRPr="00997F55" w:rsidRDefault="00997F55" w:rsidP="00997F55">
      <w:pPr>
        <w:pStyle w:val="Odstavecseseznamem"/>
        <w:numPr>
          <w:ilvl w:val="0"/>
          <w:numId w:val="13"/>
        </w:numPr>
        <w:ind w:left="1134"/>
        <w:jc w:val="both"/>
        <w:rPr>
          <w:rFonts w:asciiTheme="minorHAnsi" w:hAnsiTheme="minorHAnsi" w:cstheme="minorHAnsi"/>
        </w:rPr>
      </w:pPr>
      <w:r w:rsidRPr="00997F55">
        <w:rPr>
          <w:rFonts w:asciiTheme="minorHAnsi" w:hAnsiTheme="minorHAnsi" w:cstheme="minorHAnsi"/>
        </w:rPr>
        <w:t>s nájemcem, u kterého v průběhu doby nájmu vznikl dluh na nájemném a úhradě za služby spojené s užíváním bytu, který nájemce uhradí ihned jednorázově, bude nájemní smlouva uzavřena na dobu určitou – 1 rok;</w:t>
      </w:r>
    </w:p>
    <w:p w:rsidR="00997F55" w:rsidRPr="00997F55" w:rsidRDefault="00997F55" w:rsidP="00997F55">
      <w:pPr>
        <w:pStyle w:val="Odstavecseseznamem"/>
        <w:numPr>
          <w:ilvl w:val="0"/>
          <w:numId w:val="13"/>
        </w:numPr>
        <w:ind w:left="1134"/>
        <w:jc w:val="both"/>
        <w:rPr>
          <w:rFonts w:asciiTheme="minorHAnsi" w:hAnsiTheme="minorHAnsi" w:cstheme="minorHAnsi"/>
        </w:rPr>
      </w:pPr>
      <w:r w:rsidRPr="00997F55">
        <w:rPr>
          <w:rFonts w:asciiTheme="minorHAnsi" w:hAnsiTheme="minorHAnsi" w:cstheme="minorHAnsi"/>
        </w:rPr>
        <w:t>s nájemcem, u kterého v průběhu stávající doby nájmu vznikl dluh na nájemném a úhradě za služby spojené s užíváním bytu, který se uživatel zaváže uhradit v pravidelných splátkách, bude nájemní smlouva uzavřena dobu určitou – 3 měsíce; tentýž postup bude uplatněn pro uživatele, kteří opakovaně porušili platební morálku;</w:t>
      </w:r>
    </w:p>
    <w:p w:rsidR="00997F55" w:rsidRPr="00997F55" w:rsidRDefault="00997F55" w:rsidP="00997F55">
      <w:pPr>
        <w:pStyle w:val="Odstavecseseznamem"/>
        <w:numPr>
          <w:ilvl w:val="0"/>
          <w:numId w:val="13"/>
        </w:numPr>
        <w:ind w:left="1134"/>
        <w:jc w:val="both"/>
        <w:rPr>
          <w:rFonts w:asciiTheme="minorHAnsi" w:hAnsiTheme="minorHAnsi" w:cstheme="minorHAnsi"/>
        </w:rPr>
      </w:pPr>
      <w:r w:rsidRPr="00997F55">
        <w:rPr>
          <w:rFonts w:asciiTheme="minorHAnsi" w:hAnsiTheme="minorHAnsi" w:cstheme="minorHAnsi"/>
        </w:rPr>
        <w:t xml:space="preserve">s nájemcem, u kterého v průběhu stávající doby nájmu vznikl dluh na nájemném a úhradě za služby spojené s užíváním bytu, který nájemce nehradí ani ve splátkách na základě písemné dohody ani jednorázově, nebo pokud dochází k ničení majetku, včetně společných prostor a nedodržování domovního řádu či k porušování jiných povinností nájemce souvisejících s jeho nájemním vztahem k bytu, </w:t>
      </w:r>
      <w:r w:rsidR="0034778F">
        <w:rPr>
          <w:rFonts w:asciiTheme="minorHAnsi" w:hAnsiTheme="minorHAnsi" w:cstheme="minorHAnsi"/>
        </w:rPr>
        <w:t xml:space="preserve">nebude smlouva prodloužena, případně </w:t>
      </w:r>
      <w:r w:rsidRPr="00997F55">
        <w:rPr>
          <w:rFonts w:asciiTheme="minorHAnsi" w:hAnsiTheme="minorHAnsi" w:cstheme="minorHAnsi"/>
        </w:rPr>
        <w:t>bude věc řešena návrhem na soudní vyklizení bytu po uplynutí doby nájmu.</w:t>
      </w:r>
    </w:p>
    <w:p w:rsidR="00997F55" w:rsidRDefault="00997F55" w:rsidP="00997F55">
      <w:pPr>
        <w:jc w:val="both"/>
        <w:rPr>
          <w:rFonts w:asciiTheme="minorHAnsi" w:hAnsiTheme="minorHAnsi" w:cstheme="minorHAnsi"/>
        </w:rPr>
      </w:pPr>
    </w:p>
    <w:p w:rsidR="001A094E" w:rsidRPr="00997F55" w:rsidRDefault="001A094E"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lastRenderedPageBreak/>
        <w:t>Článek V.</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Nájemné</w:t>
      </w:r>
    </w:p>
    <w:p w:rsidR="00997F55" w:rsidRPr="00997F55" w:rsidRDefault="00997F55" w:rsidP="00997F55">
      <w:pPr>
        <w:pStyle w:val="Odstavecseseznamem"/>
        <w:numPr>
          <w:ilvl w:val="0"/>
          <w:numId w:val="18"/>
        </w:numPr>
        <w:jc w:val="both"/>
        <w:rPr>
          <w:rFonts w:asciiTheme="minorHAnsi" w:hAnsiTheme="minorHAnsi" w:cstheme="minorHAnsi"/>
        </w:rPr>
      </w:pPr>
      <w:r w:rsidRPr="00997F55">
        <w:rPr>
          <w:rFonts w:asciiTheme="minorHAnsi" w:hAnsiTheme="minorHAnsi" w:cstheme="minorHAnsi"/>
        </w:rPr>
        <w:t>Výše nájemného a plateb na úhradu služeb souvisejících s užíváním bytu zajišťovaných pronajímatelem u smluv uzavřených před 1. 1. 2020 jsou stanoveny dle těchto smluv.</w:t>
      </w:r>
    </w:p>
    <w:p w:rsidR="00997F55" w:rsidRPr="00997F55" w:rsidRDefault="00997F55" w:rsidP="00997F55">
      <w:pPr>
        <w:pStyle w:val="Odstavecseseznamem"/>
        <w:numPr>
          <w:ilvl w:val="0"/>
          <w:numId w:val="18"/>
        </w:numPr>
        <w:jc w:val="both"/>
        <w:rPr>
          <w:rFonts w:asciiTheme="minorHAnsi" w:hAnsiTheme="minorHAnsi" w:cstheme="minorHAnsi"/>
        </w:rPr>
      </w:pPr>
      <w:r w:rsidRPr="00997F55">
        <w:rPr>
          <w:rFonts w:asciiTheme="minorHAnsi" w:hAnsiTheme="minorHAnsi" w:cstheme="minorHAnsi"/>
        </w:rPr>
        <w:t>Pronajímatel je oprávněn zvýšit nájemné u smluv uzavřených před 1. 1. 2020 v souladu s ustanovením § 2249 zákona č. 89/2012 Sb., Občanský zákoník. Přičemž komise dbá, aby byla nejméně jednou za tři roky provedena kontrola, zda je smluvní nájemné maximálně ve výši nájemného obvyklého.</w:t>
      </w:r>
    </w:p>
    <w:p w:rsidR="00997F55" w:rsidRPr="00997F55" w:rsidRDefault="00997F55" w:rsidP="00997F55">
      <w:pPr>
        <w:pStyle w:val="Odstavecseseznamem"/>
        <w:numPr>
          <w:ilvl w:val="0"/>
          <w:numId w:val="18"/>
        </w:numPr>
        <w:jc w:val="both"/>
        <w:rPr>
          <w:rFonts w:asciiTheme="minorHAnsi" w:hAnsiTheme="minorHAnsi" w:cstheme="minorHAnsi"/>
        </w:rPr>
      </w:pPr>
      <w:r w:rsidRPr="00997F55">
        <w:rPr>
          <w:rFonts w:asciiTheme="minorHAnsi" w:hAnsiTheme="minorHAnsi" w:cstheme="minorHAnsi"/>
        </w:rPr>
        <w:t>Výše nájemného a plateb na úhradu služeb souvisejících s užíváním bytu zajišťovaných pronajímatelem jsou u smluv uzavřených po 1. 1. 2020 stanoveny dle platných právních předpisů.</w:t>
      </w:r>
    </w:p>
    <w:p w:rsidR="00997F55" w:rsidRPr="00997F55" w:rsidRDefault="00997F55" w:rsidP="00997F55">
      <w:pPr>
        <w:pStyle w:val="Odstavecseseznamem"/>
        <w:numPr>
          <w:ilvl w:val="0"/>
          <w:numId w:val="18"/>
        </w:numPr>
        <w:jc w:val="both"/>
        <w:rPr>
          <w:rFonts w:asciiTheme="minorHAnsi" w:hAnsiTheme="minorHAnsi" w:cstheme="minorHAnsi"/>
        </w:rPr>
      </w:pPr>
      <w:r w:rsidRPr="00997F55">
        <w:rPr>
          <w:rFonts w:asciiTheme="minorHAnsi" w:hAnsiTheme="minorHAnsi" w:cstheme="minorHAnsi"/>
        </w:rPr>
        <w:t>O výši nájemného a plateb za služby spojených s užíváním bytu rozhoduje vždy starosta</w:t>
      </w:r>
      <w:r w:rsidR="0064110F">
        <w:rPr>
          <w:rFonts w:asciiTheme="minorHAnsi" w:hAnsiTheme="minorHAnsi" w:cstheme="minorHAnsi"/>
        </w:rPr>
        <w:t xml:space="preserve"> na základě doporučení komise</w:t>
      </w:r>
      <w:r w:rsidRPr="00997F55">
        <w:rPr>
          <w:rFonts w:asciiTheme="minorHAnsi" w:hAnsiTheme="minorHAnsi" w:cstheme="minorHAnsi"/>
        </w:rPr>
        <w:t>. Nájemné by však nemělo být nižší než 75 % z obvyklého nájemného.</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VI.</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Sleva na nájemném</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Nájemce může po</w:t>
      </w:r>
      <w:r w:rsidR="006720D3">
        <w:rPr>
          <w:rFonts w:asciiTheme="minorHAnsi" w:hAnsiTheme="minorHAnsi" w:cstheme="minorHAnsi"/>
        </w:rPr>
        <w:t>ž</w:t>
      </w:r>
      <w:bookmarkStart w:id="0" w:name="_GoBack"/>
      <w:bookmarkEnd w:id="0"/>
      <w:r w:rsidRPr="00997F55">
        <w:rPr>
          <w:rFonts w:asciiTheme="minorHAnsi" w:hAnsiTheme="minorHAnsi" w:cstheme="minorHAnsi"/>
        </w:rPr>
        <w:t>ádat o slevu z nájemného v těchto případech:</w:t>
      </w:r>
    </w:p>
    <w:p w:rsidR="00997F55" w:rsidRPr="00997F55" w:rsidRDefault="00997F55" w:rsidP="00997F55">
      <w:pPr>
        <w:pStyle w:val="Odstavecseseznamem"/>
        <w:numPr>
          <w:ilvl w:val="0"/>
          <w:numId w:val="19"/>
        </w:numPr>
        <w:jc w:val="both"/>
        <w:rPr>
          <w:rFonts w:asciiTheme="minorHAnsi" w:hAnsiTheme="minorHAnsi" w:cstheme="minorHAnsi"/>
        </w:rPr>
      </w:pPr>
      <w:r w:rsidRPr="00997F55">
        <w:rPr>
          <w:rFonts w:asciiTheme="minorHAnsi" w:hAnsiTheme="minorHAnsi" w:cstheme="minorHAnsi"/>
        </w:rPr>
        <w:t>pokud je nájemce starobním důchodcem, který žije v bytě samostatně;</w:t>
      </w:r>
    </w:p>
    <w:p w:rsidR="00997F55" w:rsidRPr="00997F55" w:rsidRDefault="00997F55" w:rsidP="00997F55">
      <w:pPr>
        <w:pStyle w:val="Odstavecseseznamem"/>
        <w:numPr>
          <w:ilvl w:val="0"/>
          <w:numId w:val="19"/>
        </w:numPr>
        <w:jc w:val="both"/>
        <w:rPr>
          <w:rFonts w:asciiTheme="minorHAnsi" w:hAnsiTheme="minorHAnsi" w:cstheme="minorHAnsi"/>
        </w:rPr>
      </w:pPr>
      <w:r w:rsidRPr="00997F55">
        <w:rPr>
          <w:rFonts w:asciiTheme="minorHAnsi" w:hAnsiTheme="minorHAnsi" w:cstheme="minorHAnsi"/>
        </w:rPr>
        <w:t>pokud je nájemce invalidním důchodcem II. nebo III. stupně, který žije v bytě samostatně;</w:t>
      </w:r>
    </w:p>
    <w:p w:rsidR="00997F55" w:rsidRPr="00997F55" w:rsidRDefault="00997F55" w:rsidP="00997F55">
      <w:pPr>
        <w:pStyle w:val="Odstavecseseznamem"/>
        <w:numPr>
          <w:ilvl w:val="0"/>
          <w:numId w:val="19"/>
        </w:numPr>
        <w:jc w:val="both"/>
        <w:rPr>
          <w:rFonts w:asciiTheme="minorHAnsi" w:hAnsiTheme="minorHAnsi" w:cstheme="minorHAnsi"/>
        </w:rPr>
      </w:pPr>
      <w:r w:rsidRPr="00997F55">
        <w:rPr>
          <w:rFonts w:asciiTheme="minorHAnsi" w:hAnsiTheme="minorHAnsi" w:cstheme="minorHAnsi"/>
        </w:rPr>
        <w:t xml:space="preserve">pokud je nájemce matkou samoživitelkou / otcem samoživitelem, která/ý žije v bytě pouze spolu se svými dětmi, tedy bez druha / družky nebo další ekonomicky aktivní osoby, která se finančně spolupodílí na chodu domácnosti; slevu je možné přiznat až do doby, kdy </w:t>
      </w:r>
      <w:r w:rsidR="0064110F">
        <w:rPr>
          <w:rFonts w:asciiTheme="minorHAnsi" w:hAnsiTheme="minorHAnsi" w:cstheme="minorHAnsi"/>
        </w:rPr>
        <w:t>v bytě spolu s nájemcem bydlí alespoň jedno nezaopatřené dítě; pojem „nezaopatřené dítě“ podrobněji vymezuje § 11 zákona č. 117/1995 Sb., o státní sociální podpoře.</w:t>
      </w:r>
    </w:p>
    <w:p w:rsidR="00997F55" w:rsidRPr="00997F55" w:rsidRDefault="00997F55" w:rsidP="00997F55">
      <w:pPr>
        <w:pStyle w:val="Odstavecseseznamem"/>
        <w:numPr>
          <w:ilvl w:val="0"/>
          <w:numId w:val="19"/>
        </w:numPr>
        <w:jc w:val="both"/>
        <w:rPr>
          <w:rFonts w:asciiTheme="minorHAnsi" w:hAnsiTheme="minorHAnsi" w:cstheme="minorHAnsi"/>
        </w:rPr>
      </w:pPr>
      <w:r w:rsidRPr="00997F55">
        <w:rPr>
          <w:rFonts w:asciiTheme="minorHAnsi" w:hAnsiTheme="minorHAnsi" w:cstheme="minorHAnsi"/>
        </w:rPr>
        <w:t>v dalších výjimečných případech, kdy se nájemce bez vlastního přičinění dostal do těžké životní situace a s tím spojených finančních problémů.</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Nájemce žádá o přiznání slevy písemně pomocí formuláře „Žádost o přiznání slevy na nájemném“, který je přílohou t</w:t>
      </w:r>
      <w:r w:rsidR="0034778F">
        <w:rPr>
          <w:rFonts w:asciiTheme="minorHAnsi" w:hAnsiTheme="minorHAnsi" w:cstheme="minorHAnsi"/>
        </w:rPr>
        <w:t>éto směrnice</w:t>
      </w:r>
      <w:r w:rsidRPr="00997F55">
        <w:rPr>
          <w:rFonts w:asciiTheme="minorHAnsi" w:hAnsiTheme="minorHAnsi" w:cstheme="minorHAnsi"/>
        </w:rPr>
        <w:t xml:space="preserve">. </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O přiznání slevy a její výši rozhoduje na doporučení komise starosta.</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Slevu je možné přiznat až do výše 50 % z ceny smluvního nájemného.</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Slevu je možné přiznat od měsíce následujícího po měsíci, ve kterém byly splněny podmínky pro přiznání slevy.</w:t>
      </w:r>
    </w:p>
    <w:p w:rsidR="00997F55" w:rsidRPr="00997F55" w:rsidRDefault="00997F55" w:rsidP="00997F55">
      <w:pPr>
        <w:pStyle w:val="Odstavecseseznamem"/>
        <w:numPr>
          <w:ilvl w:val="0"/>
          <w:numId w:val="20"/>
        </w:numPr>
        <w:jc w:val="both"/>
        <w:rPr>
          <w:rFonts w:asciiTheme="minorHAnsi" w:hAnsiTheme="minorHAnsi" w:cstheme="minorHAnsi"/>
        </w:rPr>
      </w:pPr>
      <w:r w:rsidRPr="00997F55">
        <w:rPr>
          <w:rFonts w:asciiTheme="minorHAnsi" w:hAnsiTheme="minorHAnsi" w:cstheme="minorHAnsi"/>
        </w:rPr>
        <w:t>Nárok na slevu zaniká od měsíce následujícího po měsíci, ve kterém pominuly skutečnosti, pro které byla sleva přiznána.</w:t>
      </w:r>
    </w:p>
    <w:p w:rsidR="00997F55" w:rsidRPr="00997F55" w:rsidRDefault="00997F55" w:rsidP="00997F55">
      <w:pPr>
        <w:ind w:left="720"/>
        <w:jc w:val="both"/>
        <w:rPr>
          <w:rFonts w:asciiTheme="minorHAnsi" w:hAnsiTheme="minorHAnsi" w:cstheme="minorHAnsi"/>
        </w:rPr>
      </w:pPr>
    </w:p>
    <w:p w:rsidR="00997F55" w:rsidRPr="00997F55" w:rsidRDefault="00997F55" w:rsidP="00997F55">
      <w:pPr>
        <w:ind w:left="720"/>
        <w:jc w:val="center"/>
        <w:rPr>
          <w:rFonts w:asciiTheme="minorHAnsi" w:hAnsiTheme="minorHAnsi" w:cstheme="minorHAnsi"/>
          <w:b/>
          <w:bCs/>
          <w:sz w:val="24"/>
          <w:szCs w:val="24"/>
        </w:rPr>
      </w:pPr>
      <w:r w:rsidRPr="00997F55">
        <w:rPr>
          <w:rFonts w:asciiTheme="minorHAnsi" w:hAnsiTheme="minorHAnsi" w:cstheme="minorHAnsi"/>
          <w:b/>
          <w:bCs/>
          <w:sz w:val="24"/>
          <w:szCs w:val="24"/>
        </w:rPr>
        <w:t>Článek VII.</w:t>
      </w:r>
    </w:p>
    <w:p w:rsidR="00997F55" w:rsidRPr="00997F55" w:rsidRDefault="00997F55" w:rsidP="00997F55">
      <w:pPr>
        <w:ind w:left="720"/>
        <w:jc w:val="center"/>
        <w:rPr>
          <w:rFonts w:asciiTheme="minorHAnsi" w:hAnsiTheme="minorHAnsi" w:cstheme="minorHAnsi"/>
          <w:b/>
          <w:bCs/>
          <w:sz w:val="24"/>
          <w:szCs w:val="24"/>
        </w:rPr>
      </w:pPr>
      <w:r w:rsidRPr="00997F55">
        <w:rPr>
          <w:rFonts w:asciiTheme="minorHAnsi" w:hAnsiTheme="minorHAnsi" w:cstheme="minorHAnsi"/>
          <w:b/>
          <w:bCs/>
          <w:sz w:val="24"/>
          <w:szCs w:val="24"/>
        </w:rPr>
        <w:t>Podnájem</w:t>
      </w:r>
    </w:p>
    <w:p w:rsidR="00997F55" w:rsidRPr="00997F55" w:rsidRDefault="00997F55" w:rsidP="00997F55">
      <w:pPr>
        <w:pStyle w:val="Odstavecseseznamem"/>
        <w:numPr>
          <w:ilvl w:val="0"/>
          <w:numId w:val="14"/>
        </w:numPr>
        <w:jc w:val="both"/>
        <w:rPr>
          <w:rFonts w:asciiTheme="minorHAnsi" w:hAnsiTheme="minorHAnsi" w:cstheme="minorHAnsi"/>
        </w:rPr>
      </w:pPr>
      <w:r w:rsidRPr="00997F55">
        <w:rPr>
          <w:rFonts w:asciiTheme="minorHAnsi" w:hAnsiTheme="minorHAnsi" w:cstheme="minorHAnsi"/>
        </w:rPr>
        <w:t>Podnájem bytu nebo jeho částí se řídí ustanovením § 2215 a 2216 zákona č. 89/2012 Sb., občanských zákoník v platném znění.</w:t>
      </w:r>
    </w:p>
    <w:p w:rsidR="00997F55" w:rsidRPr="00997F55" w:rsidRDefault="00997F55" w:rsidP="00997F55">
      <w:pPr>
        <w:pStyle w:val="Odstavecseseznamem"/>
        <w:numPr>
          <w:ilvl w:val="0"/>
          <w:numId w:val="14"/>
        </w:numPr>
        <w:jc w:val="both"/>
        <w:rPr>
          <w:rFonts w:asciiTheme="minorHAnsi" w:hAnsiTheme="minorHAnsi" w:cstheme="minorHAnsi"/>
        </w:rPr>
      </w:pPr>
      <w:r w:rsidRPr="00997F55">
        <w:rPr>
          <w:rFonts w:asciiTheme="minorHAnsi" w:hAnsiTheme="minorHAnsi" w:cstheme="minorHAnsi"/>
        </w:rPr>
        <w:t>Pronajatý byt nebo jeho část lze dát do podnájmu jen s písemným souhlasem pronajímatele. V případě, že nájemce dá do podnájmu byt nebo jeho část bez souhlasu pronajímatele, bude mu dána výpověď z nájmu bytu pro hrubé porušení svých povinností.</w:t>
      </w:r>
    </w:p>
    <w:p w:rsidR="00997F55" w:rsidRDefault="00997F55" w:rsidP="00997F55">
      <w:pPr>
        <w:ind w:left="720"/>
        <w:jc w:val="both"/>
        <w:rPr>
          <w:rFonts w:asciiTheme="minorHAnsi" w:hAnsiTheme="minorHAnsi" w:cstheme="minorHAnsi"/>
        </w:rPr>
      </w:pPr>
    </w:p>
    <w:p w:rsidR="001A094E" w:rsidRPr="00997F55" w:rsidRDefault="001A094E" w:rsidP="00997F55">
      <w:pPr>
        <w:ind w:left="720"/>
        <w:jc w:val="both"/>
        <w:rPr>
          <w:rFonts w:asciiTheme="minorHAnsi" w:hAnsiTheme="minorHAnsi" w:cstheme="minorHAnsi"/>
        </w:rPr>
      </w:pPr>
    </w:p>
    <w:p w:rsidR="00997F55" w:rsidRPr="00997F55" w:rsidRDefault="00997F55" w:rsidP="00997F55">
      <w:pPr>
        <w:ind w:left="720"/>
        <w:jc w:val="center"/>
        <w:rPr>
          <w:rFonts w:asciiTheme="minorHAnsi" w:hAnsiTheme="minorHAnsi" w:cstheme="minorHAnsi"/>
          <w:b/>
          <w:bCs/>
          <w:sz w:val="24"/>
          <w:szCs w:val="24"/>
        </w:rPr>
      </w:pPr>
      <w:r w:rsidRPr="00997F55">
        <w:rPr>
          <w:rFonts w:asciiTheme="minorHAnsi" w:hAnsiTheme="minorHAnsi" w:cstheme="minorHAnsi"/>
          <w:b/>
          <w:bCs/>
          <w:sz w:val="24"/>
          <w:szCs w:val="24"/>
        </w:rPr>
        <w:lastRenderedPageBreak/>
        <w:t>Článek VIII.</w:t>
      </w:r>
    </w:p>
    <w:p w:rsidR="00997F55" w:rsidRPr="00997F55" w:rsidRDefault="00997F55" w:rsidP="00997F55">
      <w:pPr>
        <w:ind w:left="720"/>
        <w:jc w:val="center"/>
        <w:rPr>
          <w:rFonts w:asciiTheme="minorHAnsi" w:hAnsiTheme="minorHAnsi" w:cstheme="minorHAnsi"/>
          <w:b/>
          <w:bCs/>
          <w:sz w:val="24"/>
          <w:szCs w:val="24"/>
        </w:rPr>
      </w:pPr>
      <w:r w:rsidRPr="00997F55">
        <w:rPr>
          <w:rFonts w:asciiTheme="minorHAnsi" w:hAnsiTheme="minorHAnsi" w:cstheme="minorHAnsi"/>
          <w:b/>
          <w:bCs/>
          <w:sz w:val="24"/>
          <w:szCs w:val="24"/>
        </w:rPr>
        <w:t>Výměna bytů</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 xml:space="preserve">O výměnu bytů požádá nájemce na základě písemné žádosti. Žádost o výměnu bytů </w:t>
      </w:r>
      <w:r w:rsidR="003550F3">
        <w:rPr>
          <w:rFonts w:asciiTheme="minorHAnsi" w:hAnsiTheme="minorHAnsi" w:cstheme="minorHAnsi"/>
        </w:rPr>
        <w:t>schvaluje</w:t>
      </w:r>
      <w:r w:rsidRPr="00997F55">
        <w:rPr>
          <w:rFonts w:asciiTheme="minorHAnsi" w:hAnsiTheme="minorHAnsi" w:cstheme="minorHAnsi"/>
        </w:rPr>
        <w:t xml:space="preserve"> starosta </w:t>
      </w:r>
      <w:r w:rsidR="003550F3">
        <w:rPr>
          <w:rFonts w:asciiTheme="minorHAnsi" w:hAnsiTheme="minorHAnsi" w:cstheme="minorHAnsi"/>
        </w:rPr>
        <w:t>na doporučení komise</w:t>
      </w:r>
      <w:r w:rsidRPr="00997F55">
        <w:rPr>
          <w:rFonts w:asciiTheme="minorHAnsi" w:hAnsiTheme="minorHAnsi" w:cstheme="minorHAnsi"/>
        </w:rPr>
        <w:t>.</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Písemný souhlas s výměnou bytu lze odepřít v případě důvodného podezření ze spekulativních důvodů.</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Výměnu bytů lze provést pouze na základě dohody o výměně mezi nájemci či společnými nájemci bytů.</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Žádost o souhlas s výměnou bytu se podává na předepsaném formuláři, který je přílohou této směrnice.</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Další podmínkou je řádné uhrazení nájemného i všech ostatních plateb spojených s užíváním bytu, který má být předmětem výměny, a to nejpozději ke dni podání žádosti.</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Překážkou udělení souhlasu s výměnou bytu je:</w:t>
      </w:r>
    </w:p>
    <w:p w:rsidR="00997F55" w:rsidRPr="00997F55" w:rsidRDefault="00997F55" w:rsidP="00997F55">
      <w:pPr>
        <w:pStyle w:val="Odstavecseseznamem"/>
        <w:numPr>
          <w:ilvl w:val="0"/>
          <w:numId w:val="16"/>
        </w:numPr>
        <w:ind w:left="1134"/>
        <w:jc w:val="both"/>
        <w:rPr>
          <w:rFonts w:asciiTheme="minorHAnsi" w:hAnsiTheme="minorHAnsi" w:cstheme="minorHAnsi"/>
        </w:rPr>
      </w:pPr>
      <w:r w:rsidRPr="00997F55">
        <w:rPr>
          <w:rFonts w:asciiTheme="minorHAnsi" w:hAnsiTheme="minorHAnsi" w:cstheme="minorHAnsi"/>
        </w:rPr>
        <w:t>soudní či exekuční řízení o vyklizení bytu vedený proti některému ze žadatelů,</w:t>
      </w:r>
    </w:p>
    <w:p w:rsidR="00997F55" w:rsidRPr="00997F55" w:rsidRDefault="00997F55" w:rsidP="00997F55">
      <w:pPr>
        <w:pStyle w:val="Odstavecseseznamem"/>
        <w:numPr>
          <w:ilvl w:val="0"/>
          <w:numId w:val="16"/>
        </w:numPr>
        <w:ind w:left="1134"/>
        <w:jc w:val="both"/>
        <w:rPr>
          <w:rFonts w:asciiTheme="minorHAnsi" w:hAnsiTheme="minorHAnsi" w:cstheme="minorHAnsi"/>
        </w:rPr>
      </w:pPr>
      <w:r w:rsidRPr="00997F55">
        <w:rPr>
          <w:rFonts w:asciiTheme="minorHAnsi" w:hAnsiTheme="minorHAnsi" w:cstheme="minorHAnsi"/>
        </w:rPr>
        <w:t>skutečnost, že žadatel je dlužníkem obce.</w:t>
      </w:r>
    </w:p>
    <w:p w:rsidR="00997F55" w:rsidRPr="00997F55" w:rsidRDefault="00997F55" w:rsidP="00997F55">
      <w:pPr>
        <w:pStyle w:val="Odstavecseseznamem"/>
        <w:numPr>
          <w:ilvl w:val="0"/>
          <w:numId w:val="15"/>
        </w:numPr>
        <w:jc w:val="both"/>
        <w:rPr>
          <w:rFonts w:asciiTheme="minorHAnsi" w:hAnsiTheme="minorHAnsi" w:cstheme="minorHAnsi"/>
        </w:rPr>
      </w:pPr>
      <w:r w:rsidRPr="00997F55">
        <w:rPr>
          <w:rFonts w:asciiTheme="minorHAnsi" w:hAnsiTheme="minorHAnsi" w:cstheme="minorHAnsi"/>
        </w:rPr>
        <w:t xml:space="preserve">S novým nájemcem je možné uzavřít novou nájemní smlouvu, a to vždy za stejných podmínek, za kterých byla uzavřena smlouva </w:t>
      </w:r>
      <w:r w:rsidR="003550F3">
        <w:rPr>
          <w:rFonts w:asciiTheme="minorHAnsi" w:hAnsiTheme="minorHAnsi" w:cstheme="minorHAnsi"/>
        </w:rPr>
        <w:t>s </w:t>
      </w:r>
      <w:r w:rsidRPr="00997F55">
        <w:rPr>
          <w:rFonts w:asciiTheme="minorHAnsi" w:hAnsiTheme="minorHAnsi" w:cstheme="minorHAnsi"/>
        </w:rPr>
        <w:t>původní</w:t>
      </w:r>
      <w:r w:rsidR="003550F3">
        <w:rPr>
          <w:rFonts w:asciiTheme="minorHAnsi" w:hAnsiTheme="minorHAnsi" w:cstheme="minorHAnsi"/>
        </w:rPr>
        <w:t>m nájemcem bytu</w:t>
      </w:r>
      <w:r w:rsidRPr="00997F55">
        <w:rPr>
          <w:rFonts w:asciiTheme="minorHAnsi" w:hAnsiTheme="minorHAnsi" w:cstheme="minorHAnsi"/>
        </w:rPr>
        <w:t>, nebylo-li s novým nájemcem dohodnuto jinak. Novou nájemní smlouvu je možné uzavřít po provedení výměny přestěhováním se do nového bytu.</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IX.</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Běžná údržba bytu a drobné opravy související s užíváním bytu</w:t>
      </w:r>
    </w:p>
    <w:p w:rsidR="00997F55" w:rsidRPr="00997F55" w:rsidRDefault="00997F55" w:rsidP="00997F55">
      <w:pPr>
        <w:pStyle w:val="Odstavecseseznamem"/>
        <w:numPr>
          <w:ilvl w:val="0"/>
          <w:numId w:val="21"/>
        </w:numPr>
        <w:rPr>
          <w:rFonts w:asciiTheme="minorHAnsi" w:hAnsiTheme="minorHAnsi" w:cstheme="minorHAnsi"/>
        </w:rPr>
      </w:pPr>
      <w:r w:rsidRPr="00997F55">
        <w:rPr>
          <w:rFonts w:asciiTheme="minorHAnsi" w:hAnsiTheme="minorHAnsi" w:cstheme="minorHAnsi"/>
        </w:rPr>
        <w:t>Běžnou údržbu bytu včetně jeho vybavení a drobné opravy související s užíváním bytu provádí a hradí nájemce.</w:t>
      </w:r>
    </w:p>
    <w:p w:rsidR="00997F55" w:rsidRPr="00997F55" w:rsidRDefault="00997F55" w:rsidP="00997F55">
      <w:pPr>
        <w:pStyle w:val="Odstavecseseznamem"/>
        <w:numPr>
          <w:ilvl w:val="0"/>
          <w:numId w:val="21"/>
        </w:numPr>
        <w:rPr>
          <w:rFonts w:asciiTheme="minorHAnsi" w:hAnsiTheme="minorHAnsi" w:cstheme="minorHAnsi"/>
        </w:rPr>
      </w:pPr>
      <w:r w:rsidRPr="00997F55">
        <w:rPr>
          <w:rFonts w:asciiTheme="minorHAnsi" w:hAnsiTheme="minorHAnsi" w:cstheme="minorHAnsi"/>
        </w:rPr>
        <w:t>Pojmy „Běžná údržba“ a „Drobná oprava související s užíváním bytu“ vymezuje Nařízení vlády č. 308/2015 Sb., Nařízení vlády o vymezení pojmů běžná údržba a drobné opravy související s užíváním bytu.</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X.</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Závěrečná ustanovení</w:t>
      </w:r>
    </w:p>
    <w:p w:rsidR="00997F55" w:rsidRPr="00997F55" w:rsidRDefault="00997F55" w:rsidP="00997F55">
      <w:pPr>
        <w:pStyle w:val="Odstavecseseznamem"/>
        <w:numPr>
          <w:ilvl w:val="0"/>
          <w:numId w:val="17"/>
        </w:numPr>
        <w:jc w:val="both"/>
        <w:rPr>
          <w:rFonts w:asciiTheme="minorHAnsi" w:hAnsiTheme="minorHAnsi" w:cstheme="minorHAnsi"/>
        </w:rPr>
      </w:pPr>
      <w:r w:rsidRPr="00997F55">
        <w:rPr>
          <w:rFonts w:asciiTheme="minorHAnsi" w:hAnsiTheme="minorHAnsi" w:cstheme="minorHAnsi"/>
        </w:rPr>
        <w:t xml:space="preserve">Tato směrnice byla schválena usnesením zastupitelstva obce Heřmanice č. </w:t>
      </w:r>
      <w:r w:rsidR="001A094E">
        <w:rPr>
          <w:rFonts w:asciiTheme="minorHAnsi" w:hAnsiTheme="minorHAnsi" w:cstheme="minorHAnsi"/>
        </w:rPr>
        <w:t>8/78/2019</w:t>
      </w:r>
      <w:r w:rsidRPr="00997F55">
        <w:rPr>
          <w:rFonts w:asciiTheme="minorHAnsi" w:hAnsiTheme="minorHAnsi" w:cstheme="minorHAnsi"/>
        </w:rPr>
        <w:t xml:space="preserve">, </w:t>
      </w:r>
      <w:r w:rsidR="001A094E">
        <w:rPr>
          <w:rFonts w:asciiTheme="minorHAnsi" w:hAnsiTheme="minorHAnsi" w:cstheme="minorHAnsi"/>
        </w:rPr>
        <w:br/>
      </w:r>
      <w:r w:rsidRPr="00997F55">
        <w:rPr>
          <w:rFonts w:asciiTheme="minorHAnsi" w:hAnsiTheme="minorHAnsi" w:cstheme="minorHAnsi"/>
        </w:rPr>
        <w:t xml:space="preserve">na </w:t>
      </w:r>
      <w:r w:rsidR="001A094E">
        <w:rPr>
          <w:rFonts w:asciiTheme="minorHAnsi" w:hAnsiTheme="minorHAnsi" w:cstheme="minorHAnsi"/>
        </w:rPr>
        <w:t>8.</w:t>
      </w:r>
      <w:r w:rsidRPr="00997F55">
        <w:rPr>
          <w:rFonts w:asciiTheme="minorHAnsi" w:hAnsiTheme="minorHAnsi" w:cstheme="minorHAnsi"/>
        </w:rPr>
        <w:t xml:space="preserve"> zasedání</w:t>
      </w:r>
      <w:r w:rsidR="001A094E">
        <w:rPr>
          <w:rFonts w:asciiTheme="minorHAnsi" w:hAnsiTheme="minorHAnsi" w:cstheme="minorHAnsi"/>
        </w:rPr>
        <w:t xml:space="preserve"> zastupitelstva obce Heřmanice konaném</w:t>
      </w:r>
      <w:r w:rsidRPr="00997F55">
        <w:rPr>
          <w:rFonts w:asciiTheme="minorHAnsi" w:hAnsiTheme="minorHAnsi" w:cstheme="minorHAnsi"/>
        </w:rPr>
        <w:t xml:space="preserve"> dne </w:t>
      </w:r>
      <w:r w:rsidR="001A094E">
        <w:rPr>
          <w:rFonts w:asciiTheme="minorHAnsi" w:hAnsiTheme="minorHAnsi" w:cstheme="minorHAnsi"/>
        </w:rPr>
        <w:t>18. 12. 2019.</w:t>
      </w:r>
    </w:p>
    <w:p w:rsidR="00997F55" w:rsidRPr="00997F55" w:rsidRDefault="00997F55" w:rsidP="00997F55">
      <w:pPr>
        <w:pStyle w:val="Odstavecseseznamem"/>
        <w:numPr>
          <w:ilvl w:val="0"/>
          <w:numId w:val="17"/>
        </w:numPr>
        <w:jc w:val="both"/>
        <w:rPr>
          <w:rFonts w:asciiTheme="minorHAnsi" w:hAnsiTheme="minorHAnsi" w:cstheme="minorHAnsi"/>
        </w:rPr>
      </w:pPr>
      <w:r w:rsidRPr="00997F55">
        <w:rPr>
          <w:rFonts w:asciiTheme="minorHAnsi" w:hAnsiTheme="minorHAnsi" w:cstheme="minorHAnsi"/>
        </w:rPr>
        <w:t>Směrnice nabývá účinnosti dne 1. ledna 2020.</w:t>
      </w:r>
    </w:p>
    <w:p w:rsidR="00997F55" w:rsidRPr="00997F55" w:rsidRDefault="00997F55" w:rsidP="00997F55">
      <w:pPr>
        <w:pStyle w:val="Odstavecseseznamem"/>
        <w:numPr>
          <w:ilvl w:val="0"/>
          <w:numId w:val="17"/>
        </w:numPr>
        <w:jc w:val="both"/>
        <w:rPr>
          <w:rFonts w:asciiTheme="minorHAnsi" w:hAnsiTheme="minorHAnsi" w:cstheme="minorHAnsi"/>
        </w:rPr>
      </w:pPr>
      <w:r w:rsidRPr="00997F55">
        <w:rPr>
          <w:rFonts w:asciiTheme="minorHAnsi" w:hAnsiTheme="minorHAnsi" w:cstheme="minorHAnsi"/>
        </w:rPr>
        <w:t xml:space="preserve">Ostatní práva a povinnosti ve směrnici neupravené se řídí ustanoveními zákona č. </w:t>
      </w:r>
      <w:r w:rsidR="0064110F">
        <w:rPr>
          <w:rFonts w:asciiTheme="minorHAnsi" w:hAnsiTheme="minorHAnsi" w:cstheme="minorHAnsi"/>
        </w:rPr>
        <w:t>8</w:t>
      </w:r>
      <w:r w:rsidRPr="00997F55">
        <w:rPr>
          <w:rFonts w:asciiTheme="minorHAnsi" w:hAnsiTheme="minorHAnsi" w:cstheme="minorHAnsi"/>
        </w:rPr>
        <w:t>9/2012 Sb., občanského zákoníku v platném znění.</w:t>
      </w:r>
    </w:p>
    <w:p w:rsidR="00997F55" w:rsidRPr="00997F55" w:rsidRDefault="00997F55" w:rsidP="00997F55">
      <w:pPr>
        <w:jc w:val="both"/>
        <w:rPr>
          <w:rFonts w:asciiTheme="minorHAnsi" w:hAnsiTheme="minorHAnsi" w:cstheme="minorHAnsi"/>
        </w:rPr>
      </w:pP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Článek XI.</w:t>
      </w:r>
    </w:p>
    <w:p w:rsidR="00997F55" w:rsidRPr="00997F55" w:rsidRDefault="00997F55" w:rsidP="00997F55">
      <w:pPr>
        <w:jc w:val="center"/>
        <w:rPr>
          <w:rFonts w:asciiTheme="minorHAnsi" w:hAnsiTheme="minorHAnsi" w:cstheme="minorHAnsi"/>
          <w:b/>
          <w:bCs/>
          <w:sz w:val="24"/>
          <w:szCs w:val="24"/>
        </w:rPr>
      </w:pPr>
      <w:r w:rsidRPr="00997F55">
        <w:rPr>
          <w:rFonts w:asciiTheme="minorHAnsi" w:hAnsiTheme="minorHAnsi" w:cstheme="minorHAnsi"/>
          <w:b/>
          <w:bCs/>
          <w:sz w:val="24"/>
          <w:szCs w:val="24"/>
        </w:rPr>
        <w:t>Seznam příloh</w:t>
      </w:r>
    </w:p>
    <w:p w:rsidR="00997F55" w:rsidRPr="003550F3" w:rsidRDefault="00997F55" w:rsidP="00997F55">
      <w:pPr>
        <w:jc w:val="both"/>
        <w:rPr>
          <w:rFonts w:asciiTheme="minorHAnsi" w:hAnsiTheme="minorHAnsi" w:cstheme="minorHAnsi"/>
          <w:sz w:val="22"/>
          <w:szCs w:val="22"/>
        </w:rPr>
      </w:pPr>
      <w:r w:rsidRPr="003550F3">
        <w:rPr>
          <w:rFonts w:asciiTheme="minorHAnsi" w:hAnsiTheme="minorHAnsi" w:cstheme="minorHAnsi"/>
          <w:sz w:val="22"/>
          <w:szCs w:val="22"/>
        </w:rPr>
        <w:t>č. 1 – formulář „Žádost o přidělení bytu“</w:t>
      </w:r>
    </w:p>
    <w:p w:rsidR="00997F55" w:rsidRPr="003550F3" w:rsidRDefault="00997F55" w:rsidP="00997F55">
      <w:pPr>
        <w:jc w:val="both"/>
        <w:rPr>
          <w:rFonts w:asciiTheme="minorHAnsi" w:hAnsiTheme="minorHAnsi" w:cstheme="minorHAnsi"/>
          <w:sz w:val="22"/>
          <w:szCs w:val="22"/>
        </w:rPr>
      </w:pPr>
      <w:r w:rsidRPr="003550F3">
        <w:rPr>
          <w:rFonts w:asciiTheme="minorHAnsi" w:hAnsiTheme="minorHAnsi" w:cstheme="minorHAnsi"/>
          <w:sz w:val="22"/>
          <w:szCs w:val="22"/>
        </w:rPr>
        <w:t>č. 2 – formulář „Žádost o výměn</w:t>
      </w:r>
      <w:r w:rsidR="00362AE9">
        <w:rPr>
          <w:rFonts w:asciiTheme="minorHAnsi" w:hAnsiTheme="minorHAnsi" w:cstheme="minorHAnsi"/>
          <w:sz w:val="22"/>
          <w:szCs w:val="22"/>
        </w:rPr>
        <w:t>u</w:t>
      </w:r>
      <w:r w:rsidRPr="003550F3">
        <w:rPr>
          <w:rFonts w:asciiTheme="minorHAnsi" w:hAnsiTheme="minorHAnsi" w:cstheme="minorHAnsi"/>
          <w:sz w:val="22"/>
          <w:szCs w:val="22"/>
        </w:rPr>
        <w:t xml:space="preserve"> bytů“</w:t>
      </w:r>
    </w:p>
    <w:p w:rsidR="00997F55" w:rsidRPr="003550F3" w:rsidRDefault="00997F55" w:rsidP="00997F55">
      <w:pPr>
        <w:jc w:val="both"/>
        <w:rPr>
          <w:rFonts w:asciiTheme="minorHAnsi" w:hAnsiTheme="minorHAnsi" w:cstheme="minorHAnsi"/>
          <w:sz w:val="22"/>
          <w:szCs w:val="22"/>
        </w:rPr>
      </w:pPr>
      <w:r w:rsidRPr="003550F3">
        <w:rPr>
          <w:rFonts w:asciiTheme="minorHAnsi" w:hAnsiTheme="minorHAnsi" w:cstheme="minorHAnsi"/>
          <w:sz w:val="22"/>
          <w:szCs w:val="22"/>
        </w:rPr>
        <w:t xml:space="preserve">č. 3 – </w:t>
      </w:r>
      <w:r w:rsidR="00362AE9">
        <w:rPr>
          <w:rFonts w:asciiTheme="minorHAnsi" w:hAnsiTheme="minorHAnsi" w:cstheme="minorHAnsi"/>
          <w:sz w:val="22"/>
          <w:szCs w:val="22"/>
        </w:rPr>
        <w:t>P</w:t>
      </w:r>
      <w:r w:rsidRPr="003550F3">
        <w:rPr>
          <w:rFonts w:asciiTheme="minorHAnsi" w:hAnsiTheme="minorHAnsi" w:cstheme="minorHAnsi"/>
          <w:sz w:val="22"/>
          <w:szCs w:val="22"/>
        </w:rPr>
        <w:t>ředávací protokol</w:t>
      </w:r>
    </w:p>
    <w:p w:rsidR="00997F55" w:rsidRPr="003550F3" w:rsidRDefault="00997F55" w:rsidP="00997F55">
      <w:pPr>
        <w:jc w:val="both"/>
        <w:rPr>
          <w:rFonts w:asciiTheme="minorHAnsi" w:hAnsiTheme="minorHAnsi" w:cstheme="minorHAnsi"/>
          <w:sz w:val="22"/>
          <w:szCs w:val="22"/>
        </w:rPr>
      </w:pPr>
      <w:r w:rsidRPr="003550F3">
        <w:rPr>
          <w:rFonts w:asciiTheme="minorHAnsi" w:hAnsiTheme="minorHAnsi" w:cstheme="minorHAnsi"/>
          <w:sz w:val="22"/>
          <w:szCs w:val="22"/>
        </w:rPr>
        <w:t xml:space="preserve">č. 5 – </w:t>
      </w:r>
      <w:r w:rsidR="0064110F">
        <w:rPr>
          <w:rFonts w:asciiTheme="minorHAnsi" w:hAnsiTheme="minorHAnsi" w:cstheme="minorHAnsi"/>
          <w:sz w:val="22"/>
          <w:szCs w:val="22"/>
        </w:rPr>
        <w:t>formulář „Ž</w:t>
      </w:r>
      <w:r w:rsidRPr="003550F3">
        <w:rPr>
          <w:rFonts w:asciiTheme="minorHAnsi" w:hAnsiTheme="minorHAnsi" w:cstheme="minorHAnsi"/>
          <w:sz w:val="22"/>
          <w:szCs w:val="22"/>
        </w:rPr>
        <w:t xml:space="preserve">ádanka o </w:t>
      </w:r>
      <w:r w:rsidR="00362AE9">
        <w:rPr>
          <w:rFonts w:asciiTheme="minorHAnsi" w:hAnsiTheme="minorHAnsi" w:cstheme="minorHAnsi"/>
          <w:sz w:val="22"/>
          <w:szCs w:val="22"/>
        </w:rPr>
        <w:t xml:space="preserve">provedení </w:t>
      </w:r>
      <w:r w:rsidRPr="003550F3">
        <w:rPr>
          <w:rFonts w:asciiTheme="minorHAnsi" w:hAnsiTheme="minorHAnsi" w:cstheme="minorHAnsi"/>
          <w:sz w:val="22"/>
          <w:szCs w:val="22"/>
        </w:rPr>
        <w:t>oprav</w:t>
      </w:r>
      <w:r w:rsidR="00362AE9">
        <w:rPr>
          <w:rFonts w:asciiTheme="minorHAnsi" w:hAnsiTheme="minorHAnsi" w:cstheme="minorHAnsi"/>
          <w:sz w:val="22"/>
          <w:szCs w:val="22"/>
        </w:rPr>
        <w:t>y</w:t>
      </w:r>
      <w:r w:rsidR="0064110F">
        <w:rPr>
          <w:rFonts w:asciiTheme="minorHAnsi" w:hAnsiTheme="minorHAnsi" w:cstheme="minorHAnsi"/>
          <w:sz w:val="22"/>
          <w:szCs w:val="22"/>
        </w:rPr>
        <w:t>“</w:t>
      </w:r>
    </w:p>
    <w:p w:rsidR="00411099" w:rsidRPr="003550F3" w:rsidRDefault="00997F55" w:rsidP="00997F55">
      <w:pPr>
        <w:jc w:val="both"/>
        <w:rPr>
          <w:rFonts w:asciiTheme="minorHAnsi" w:hAnsiTheme="minorHAnsi" w:cstheme="minorHAnsi"/>
          <w:sz w:val="22"/>
          <w:szCs w:val="22"/>
        </w:rPr>
      </w:pPr>
      <w:r w:rsidRPr="003550F3">
        <w:rPr>
          <w:rFonts w:asciiTheme="minorHAnsi" w:hAnsiTheme="minorHAnsi" w:cstheme="minorHAnsi"/>
          <w:sz w:val="22"/>
          <w:szCs w:val="22"/>
        </w:rPr>
        <w:t>č. 6 – formulář „Žádost o přiznání slevy na nájemném“</w:t>
      </w:r>
    </w:p>
    <w:sectPr w:rsidR="00411099" w:rsidRPr="003550F3" w:rsidSect="00997F55">
      <w:headerReference w:type="default" r:id="rId7"/>
      <w:footerReference w:type="default" r:id="rId8"/>
      <w:pgSz w:w="11907" w:h="1683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947" w:rsidRDefault="00B41947">
      <w:r>
        <w:separator/>
      </w:r>
    </w:p>
  </w:endnote>
  <w:endnote w:type="continuationSeparator" w:id="0">
    <w:p w:rsidR="00B41947" w:rsidRDefault="00B4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5B" w:rsidRDefault="003550F3">
    <w:pPr>
      <w:pStyle w:val="Zpat"/>
      <w:rPr>
        <w:lang w:val="en-US"/>
      </w:rPr>
    </w:pPr>
    <w:r>
      <w:rPr>
        <w:noProof/>
        <w:lang w:val="en-U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83820</wp:posOffset>
              </wp:positionV>
              <wp:extent cx="6515100" cy="0"/>
              <wp:effectExtent l="23495" t="20955" r="14605" b="171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6E93"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5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pKwwEAAGoDAAAOAAAAZHJzL2Uyb0RvYy54bWysU8tu2zAQvBfoPxC815JcOE0Eyzk4TS9u&#10;ayDpB6xJSiJCcQmStuS/75J+pGlvRXQguNzZ4e4MtbyfBsMOygeNtuHVrORMWYFS267hv54fP91y&#10;FiJYCQatavhRBX6/+vhhObpazbFHI5VnRGJDPbqG9zG6uiiC6NUAYYZOWUq26AeIFPqukB5GYh9M&#10;MS/Lm2JEL51HoUKg04dTkq8yf9sqEX+2bVCRmYZTbzGvPq+7tBarJdSdB9drcW4D/qOLAbSlS69U&#10;DxCB7b3+h2rQwmPANs4EDgW2rRYqz0DTVOVf0zz14FSehcQJ7ipTeD9a8eOw9UxL8o4zCwNZtNFW&#10;sSopM7pQE2Bttz7NJib75DYoXgKzuO7Bdip3+Hx0VJYrijclKQiO+Hfjd5SEgX3ELNPU+iFRkgBs&#10;ym4cr26oKTJBhzeLalGVZJq45AqoL4XOh/hN4cDSpuGGes7EcNiESK0T9AJJ91h81MZks41lY8Pn&#10;t4svi1wR0GiZsgkXfLdbG88OQO/lM313d0kIYnsD87i3MrP1CuTX8z6CNqc94Y2lsosAJyl3KI9b&#10;n+jSORmaic+PL72YP+OMev1FVr8BAAD//wMAUEsDBBQABgAIAAAAIQCk3lQZ1gAAAAcBAAAPAAAA&#10;ZHJzL2Rvd25yZXYueG1sTI/BTsMwEETvSPyDtUjcqENAVRTiVKiID2jhwHFrL0kgXke22wS+nq04&#10;wHFnVjNvms3iR3WimIbABm5XBShiG9zAnYHXl+ebClTKyA7HwGTgixJs2suLBmsXZt7RaZ87JSGc&#10;ajTQ5zzVWifbk8e0ChOxeO8hesxyxk67iLOE+1GXRbHWHgeWhh4n2vZkP/dHLyXRz7Z4qmwkjfnj&#10;O71tq929MddXy+MDqExL/nuGM76gQytMh3Bkl9RoQIZkUe9KUGe3KNeiHH4V3Tb6P3/7AwAA//8D&#10;AFBLAQItABQABgAIAAAAIQC2gziS/gAAAOEBAAATAAAAAAAAAAAAAAAAAAAAAABbQ29udGVudF9U&#10;eXBlc10ueG1sUEsBAi0AFAAGAAgAAAAhADj9If/WAAAAlAEAAAsAAAAAAAAAAAAAAAAALwEAAF9y&#10;ZWxzLy5yZWxzUEsBAi0AFAAGAAgAAAAhAMpgakrDAQAAagMAAA4AAAAAAAAAAAAAAAAALgIAAGRy&#10;cy9lMm9Eb2MueG1sUEsBAi0AFAAGAAgAAAAhAKTeVBnWAAAABwEAAA8AAAAAAAAAAAAAAAAAHQQA&#10;AGRycy9kb3ducmV2LnhtbFBLBQYAAAAABAAEAPMAAAAgBQAAAAA=&#10;" strokecolor="#339" strokeweight="2.25pt"/>
          </w:pict>
        </mc:Fallback>
      </mc:AlternateContent>
    </w:r>
  </w:p>
  <w:p w:rsidR="0064110F" w:rsidRDefault="006D48ED" w:rsidP="0064110F">
    <w:pPr>
      <w:pStyle w:val="Zpat"/>
      <w:tabs>
        <w:tab w:val="clear" w:pos="4320"/>
        <w:tab w:val="clear" w:pos="8640"/>
        <w:tab w:val="left" w:pos="1260"/>
        <w:tab w:val="left" w:pos="3240"/>
        <w:tab w:val="left" w:pos="5040"/>
        <w:tab w:val="left" w:pos="7920"/>
      </w:tabs>
      <w:jc w:val="center"/>
      <w:rPr>
        <w:sz w:val="16"/>
        <w:szCs w:val="16"/>
      </w:rPr>
    </w:pPr>
    <w:r w:rsidRPr="00696203">
      <w:rPr>
        <w:sz w:val="16"/>
        <w:szCs w:val="16"/>
        <w:lang w:val="en-US"/>
      </w:rPr>
      <w:t>IČO 272647</w:t>
    </w:r>
    <w:r>
      <w:rPr>
        <w:sz w:val="16"/>
        <w:szCs w:val="16"/>
        <w:lang w:val="en-US"/>
      </w:rPr>
      <w:t xml:space="preserve">  </w:t>
    </w:r>
    <w:r w:rsidRPr="00696203">
      <w:rPr>
        <w:sz w:val="16"/>
        <w:szCs w:val="16"/>
        <w:lang w:val="en-US"/>
      </w:rPr>
      <w:t xml:space="preserve"> </w:t>
    </w:r>
    <w:r w:rsidRPr="00696203">
      <w:rPr>
        <w:sz w:val="16"/>
        <w:szCs w:val="16"/>
      </w:rPr>
      <w:t>Telefon: 491 813</w:t>
    </w:r>
    <w:r>
      <w:rPr>
        <w:sz w:val="16"/>
        <w:szCs w:val="16"/>
      </w:rPr>
      <w:t> </w:t>
    </w:r>
    <w:proofErr w:type="gramStart"/>
    <w:r w:rsidRPr="00696203">
      <w:rPr>
        <w:sz w:val="16"/>
        <w:szCs w:val="16"/>
      </w:rPr>
      <w:t>270</w:t>
    </w:r>
    <w:r>
      <w:rPr>
        <w:sz w:val="16"/>
        <w:szCs w:val="16"/>
      </w:rPr>
      <w:t xml:space="preserve">  </w:t>
    </w:r>
    <w:r w:rsidRPr="00696203">
      <w:rPr>
        <w:sz w:val="16"/>
        <w:szCs w:val="16"/>
      </w:rPr>
      <w:t>Fax</w:t>
    </w:r>
    <w:proofErr w:type="gramEnd"/>
    <w:r w:rsidRPr="00696203">
      <w:rPr>
        <w:sz w:val="16"/>
        <w:szCs w:val="16"/>
      </w:rPr>
      <w:t>.: 491 810</w:t>
    </w:r>
    <w:r>
      <w:rPr>
        <w:sz w:val="16"/>
        <w:szCs w:val="16"/>
      </w:rPr>
      <w:t> </w:t>
    </w:r>
    <w:r w:rsidRPr="00696203">
      <w:rPr>
        <w:sz w:val="16"/>
        <w:szCs w:val="16"/>
      </w:rPr>
      <w:t>392</w:t>
    </w:r>
    <w:r>
      <w:rPr>
        <w:sz w:val="16"/>
        <w:szCs w:val="16"/>
      </w:rPr>
      <w:t xml:space="preserve">    DS: h78asvj</w:t>
    </w:r>
  </w:p>
  <w:p w:rsidR="006D48ED" w:rsidRPr="00696203" w:rsidRDefault="006D48ED" w:rsidP="0064110F">
    <w:pPr>
      <w:pStyle w:val="Zpat"/>
      <w:tabs>
        <w:tab w:val="clear" w:pos="4320"/>
        <w:tab w:val="clear" w:pos="8640"/>
        <w:tab w:val="left" w:pos="1260"/>
        <w:tab w:val="left" w:pos="3240"/>
        <w:tab w:val="left" w:pos="5040"/>
        <w:tab w:val="left" w:pos="7920"/>
      </w:tabs>
      <w:jc w:val="center"/>
      <w:rPr>
        <w:sz w:val="16"/>
        <w:szCs w:val="16"/>
        <w:lang w:val="en-US"/>
      </w:rPr>
    </w:pPr>
    <w:r w:rsidRPr="00696203">
      <w:rPr>
        <w:sz w:val="16"/>
        <w:szCs w:val="16"/>
      </w:rPr>
      <w:t xml:space="preserve">E-mail: </w:t>
    </w:r>
    <w:hyperlink r:id="rId1" w:history="1">
      <w:r w:rsidRPr="00696203">
        <w:rPr>
          <w:rStyle w:val="Hypertextovodkaz"/>
          <w:sz w:val="16"/>
          <w:szCs w:val="16"/>
        </w:rPr>
        <w:t>obec.hermanice@quick.cz</w:t>
      </w:r>
    </w:hyperlink>
    <w:r w:rsidRPr="00696203">
      <w:rPr>
        <w:sz w:val="16"/>
        <w:szCs w:val="16"/>
      </w:rPr>
      <w:t xml:space="preserve"> </w:t>
    </w:r>
    <w:r>
      <w:rPr>
        <w:sz w:val="16"/>
        <w:szCs w:val="16"/>
      </w:rPr>
      <w:t xml:space="preserve"> </w:t>
    </w:r>
    <w:hyperlink r:id="rId2" w:history="1">
      <w:r w:rsidR="0064110F" w:rsidRPr="006C4B9E">
        <w:rPr>
          <w:rStyle w:val="Hypertextovodkaz"/>
          <w:sz w:val="16"/>
          <w:szCs w:val="16"/>
        </w:rPr>
        <w:t>www.obec-hermanice.cz</w:t>
      </w:r>
    </w:hyperlink>
  </w:p>
  <w:p w:rsidR="00696203" w:rsidRPr="00696203" w:rsidRDefault="00696203" w:rsidP="006D48ED">
    <w:pPr>
      <w:pStyle w:val="Zpat"/>
      <w:tabs>
        <w:tab w:val="clear" w:pos="4320"/>
        <w:tab w:val="clear" w:pos="8640"/>
        <w:tab w:val="left" w:pos="1260"/>
        <w:tab w:val="left" w:pos="3240"/>
        <w:tab w:val="left" w:pos="5040"/>
        <w:tab w:val="left" w:pos="792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947" w:rsidRDefault="00B41947">
      <w:r>
        <w:separator/>
      </w:r>
    </w:p>
  </w:footnote>
  <w:footnote w:type="continuationSeparator" w:id="0">
    <w:p w:rsidR="00B41947" w:rsidRDefault="00B4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C5B" w:rsidRDefault="003550F3" w:rsidP="00F82715">
    <w:pPr>
      <w:tabs>
        <w:tab w:val="right" w:pos="8640"/>
      </w:tabs>
      <w:rPr>
        <w:lang w:val="en-US"/>
      </w:rPr>
    </w:pPr>
    <w:r>
      <w:rPr>
        <w:noProof/>
        <w:lang w:val="en-US"/>
      </w:rPr>
      <mc:AlternateContent>
        <mc:Choice Requires="wps">
          <w:drawing>
            <wp:anchor distT="0" distB="0" distL="114300" distR="114300" simplePos="0" relativeHeight="251658240" behindDoc="1" locked="0" layoutInCell="1" allowOverlap="1">
              <wp:simplePos x="0" y="0"/>
              <wp:positionH relativeFrom="page">
                <wp:posOffset>1111885</wp:posOffset>
              </wp:positionH>
              <wp:positionV relativeFrom="page">
                <wp:posOffset>530860</wp:posOffset>
              </wp:positionV>
              <wp:extent cx="5543550" cy="123190"/>
              <wp:effectExtent l="0" t="0" r="254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12319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5131A" id="Rectangle 3" o:spid="_x0000_s1026" style="position:absolute;margin-left:87.55pt;margin-top:41.8pt;width:436.5pt;height: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6/gEAANsDAAAOAAAAZHJzL2Uyb0RvYy54bWysU8GO0zAQvSPxD5bvNE3TAo2arlZdLUJa&#10;YMXCBziOk1g4HjN2m5avZ+x0S4EbIgfL4xm/vPdmvLk5DoYdFHoNtuL5bM6ZshIabbuKf/1y/+ot&#10;Zz4I2wgDVlX8pDy/2b58sRldqRbQg2kUMgKxvhxdxfsQXJllXvZqEH4GTllKtoCDCBRilzUoRkIf&#10;TLaYz19nI2DjEKTynk7vpiTfJvy2VTJ8aluvAjMVJ24hrZjWOq7ZdiPKDoXrtTzTEP/AYhDa0k8v&#10;UHciCLZH/RfUoCWChzbMJAwZtK2WKmkgNfn8DzVPvXAqaSFzvLvY5P8frPx4eESmm4oXnFkxUIs+&#10;k2nCdkaxItozOl9S1ZN7xCjQuweQ3zyzsOupSt0iwtgr0RCpPNZnv12IgaerrB4/QEPoYh8gOXVs&#10;cYiA5AE7poacLg1Rx8AkHa5Wy2K1or5JyuWLIl+njmWifL7t0Id3CgYWNxVH4p7QxeHBh8hGlM8l&#10;iT0Y3dxrY1KAXb0zyA6ChqOgb71OAkjkdZmxsdhCvDYhxpMkMyqbHKqhOZFKhGnC6EXQpgf8wdlI&#10;01Vx/30vUHFm3ltyap0vl3EcU7BcvVlQgNeZ+jojrCSoigfOpu0uTCO8d6i7nv6UJ9EWbsndVifh&#10;0fmJ1ZksTVDy4zztcUSv41T1601ufwIAAP//AwBQSwMEFAAGAAgAAAAhAC07CSTfAAAACwEAAA8A&#10;AABkcnMvZG93bnJldi54bWxMj0FPg0AQhe8m/ofNmHgxdrfFUoIsTVNjYrxZOXjcwhRQdpawS4v/&#10;3uFkb/NmXt58L9tOthNnHHzrSMNyoUAgla5qqdZQfL4+JiB8MFSZzhFq+EUP2/z2JjNp5S70gedD&#10;qAWHkE+NhiaEPpXSlw1a4xeuR+LbyQ3WBJZDLavBXDjcdnKlVCytaYk/NKbHfYPlz2G0GlTsVuuv&#10;af/9/vIQFbu6fytGdFrf3027ZxABp/Bvhhmf0SFnpqMbqfKiY71ZL9mqIYliELNBPSW8Oc5TpEDm&#10;mbzukP8BAAD//wMAUEsBAi0AFAAGAAgAAAAhALaDOJL+AAAA4QEAABMAAAAAAAAAAAAAAAAAAAAA&#10;AFtDb250ZW50X1R5cGVzXS54bWxQSwECLQAUAAYACAAAACEAOP0h/9YAAACUAQAACwAAAAAAAAAA&#10;AAAAAAAvAQAAX3JlbHMvLnJlbHNQSwECLQAUAAYACAAAACEAcpv7uv4BAADbAwAADgAAAAAAAAAA&#10;AAAAAAAuAgAAZHJzL2Uyb0RvYy54bWxQSwECLQAUAAYACAAAACEALTsJJN8AAAALAQAADwAAAAAA&#10;AAAAAAAAAABYBAAAZHJzL2Rvd25yZXYueG1sUEsFBgAAAAAEAAQA8wAAAGQFAAAAAA==&#10;" fillcolor="#339" stroked="f">
              <w10:wrap anchorx="page" anchory="page"/>
            </v:rect>
          </w:pict>
        </mc:Fallback>
      </mc:AlternateContent>
    </w:r>
    <w:r>
      <w:rPr>
        <w:noProof/>
        <w:lang w:val="en-US"/>
      </w:rPr>
      <mc:AlternateContent>
        <mc:Choice Requires="wps">
          <w:drawing>
            <wp:anchor distT="0" distB="0" distL="114300" distR="114300" simplePos="0" relativeHeight="251657216" behindDoc="1" locked="0" layoutInCell="1" allowOverlap="1">
              <wp:simplePos x="0" y="0"/>
              <wp:positionH relativeFrom="page">
                <wp:posOffset>1111885</wp:posOffset>
              </wp:positionH>
              <wp:positionV relativeFrom="page">
                <wp:posOffset>426085</wp:posOffset>
              </wp:positionV>
              <wp:extent cx="2514600" cy="561975"/>
              <wp:effectExtent l="0" t="0" r="2540" b="2540"/>
              <wp:wrapNone/>
              <wp:docPr id="2"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61975"/>
                      </a:xfrm>
                      <a:prstGeom prst="rect">
                        <a:avLst/>
                      </a:prstGeom>
                      <a:pattFill prst="narHorz">
                        <a:fgClr>
                          <a:srgbClr val="D5DAF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9284A" id="Rectangle 2" o:spid="_x0000_s1026" alt="Narrow horizontal" style="position:absolute;margin-left:87.55pt;margin-top:33.55pt;width:198pt;height:4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UoKgIAAEEEAAAOAAAAZHJzL2Uyb0RvYy54bWysU9tu2zAMfR+wfxD0vjrOknY16hRBgmwD&#10;uq5Ytw9gZPmC2aJGKXGSry8lu1l3eRqmB0EUyUPykLy5PXSt2GtyDZpcphcTKbRRWDSmyuW3r5s3&#10;76RwHkwBLRqdy6N28nbx+tVNbzM9xRrbQpNgEOOy3uay9t5mSeJUrTtwF2i1YWWJ1IFnkaqkIOgZ&#10;vWuT6WRymfRIhSVU2jn+XQ9KuYj4ZamV/1yWTnvR5pJz8/GmeG/DnSxuIKsIbN2oMQ34hyw6aAwH&#10;PUOtwYPYUfMHVNcoQoelv1DYJViWjdKxBq4mnfxWzWMNVsdamBxnzzS5/wer7vcPJJoil1MpDHTc&#10;oi9MGpiq1YK/Cu0U03UPRNiLGqk5ofHQBuJ66zL2f7QPFEp39g7VdycMrmr218vgUmsoON002Ce/&#10;OATBsavY9p+w4Liw8xg5PJTUBUBmRxxiq47nVumDF4o/p/N0djnhjirWzS/T66t5DAHZs7cl599r&#10;7ER45JK4qogO+zvnQzaQPZuEYBa83zRtO5oboA9Ip+hRVqt2qJCqLT/FHnia1vP1cvN2DHo22f7V&#10;dhPPaDuahPhjzBC/NeE2GHIYsgs/kbLA0sD2FosjM0Y4zDHvHT+4KScpep7hXLofOyAtRfvRMOvX&#10;6WwWhj4Ks/nVlAV6qdm+1IBRDJVLL8XwXPlhUXaWmqrmSGmkw+CSO1U2kcTQxSGrMVme08jtuFNh&#10;EV7K0ern5i+eAAAA//8DAFBLAwQUAAYACAAAACEA9uaWRdwAAAAKAQAADwAAAGRycy9kb3ducmV2&#10;LnhtbEyPQU+EQAyF7yb+h0lNvLkDJgMbZNioidnEi3HXH9CFCijTIcwsC//eetJT+/JeXr+Wu8UN&#10;aqYp9J4tpJsEFHHtm55bCx/Hl7stqBCRGxw8k4WVAuyq66sSi8Zf+J3mQ2yVlHAo0EIX41hoHeqO&#10;HIaNH4nF+/STwyhyanUz4UXK3aDvkyTTDnuWCx2O9NxR/X04OwtPxmGyXfZrfN2Pb+tXZuY8Ndbe&#10;3iyPD6AiLfEvDL/4gg6VMJ38mZugBtG5SSVqIctlSsDkqSwncYzJQFel/v9C9QMAAP//AwBQSwEC&#10;LQAUAAYACAAAACEAtoM4kv4AAADhAQAAEwAAAAAAAAAAAAAAAAAAAAAAW0NvbnRlbnRfVHlwZXNd&#10;LnhtbFBLAQItABQABgAIAAAAIQA4/SH/1gAAAJQBAAALAAAAAAAAAAAAAAAAAC8BAABfcmVscy8u&#10;cmVsc1BLAQItABQABgAIAAAAIQA9erUoKgIAAEEEAAAOAAAAAAAAAAAAAAAAAC4CAABkcnMvZTJv&#10;RG9jLnhtbFBLAQItABQABgAIAAAAIQD25pZF3AAAAAoBAAAPAAAAAAAAAAAAAAAAAIQEAABkcnMv&#10;ZG93bnJldi54bWxQSwUGAAAAAAQABADzAAAAjQUAAAAA&#10;" fillcolor="#d5daf3" stroked="f">
              <v:fill r:id="rId1" o:title="" type="pattern"/>
              <w10:wrap anchorx="page" anchory="page"/>
            </v:rect>
          </w:pict>
        </mc:Fallback>
      </mc:AlternateContent>
    </w: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-31115</wp:posOffset>
          </wp:positionV>
          <wp:extent cx="504825" cy="542925"/>
          <wp:effectExtent l="0" t="0" r="0" b="0"/>
          <wp:wrapNone/>
          <wp:docPr id="5" name="obrázek 5" descr="mark_112x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_112x1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C5B">
      <w:rPr>
        <w:lang w:val="en-US"/>
      </w:rPr>
      <w:tab/>
    </w:r>
  </w:p>
  <w:p w:rsidR="00D31C5B" w:rsidRDefault="00D31C5B" w:rsidP="00F82715">
    <w:pPr>
      <w:tabs>
        <w:tab w:val="right" w:pos="8640"/>
      </w:tabs>
      <w:rPr>
        <w:lang w:val="en-US"/>
      </w:rPr>
    </w:pPr>
  </w:p>
  <w:p w:rsidR="00D31C5B" w:rsidRPr="00F82715" w:rsidRDefault="00D31C5B" w:rsidP="00997F55">
    <w:pPr>
      <w:tabs>
        <w:tab w:val="left" w:pos="570"/>
        <w:tab w:val="right" w:pos="9072"/>
      </w:tabs>
      <w:rPr>
        <w:rFonts w:ascii="Verdana" w:hAnsi="Verdana" w:cs="Tunga"/>
        <w:b/>
        <w:sz w:val="32"/>
        <w:szCs w:val="32"/>
        <w:lang w:val="en-US"/>
      </w:rPr>
    </w:pPr>
    <w:r>
      <w:rPr>
        <w:lang w:val="en-US"/>
      </w:rPr>
      <w:tab/>
    </w:r>
    <w:r>
      <w:rPr>
        <w:lang w:val="en-US"/>
      </w:rPr>
      <w:tab/>
      <w:t xml:space="preserve">    </w:t>
    </w:r>
    <w:proofErr w:type="spellStart"/>
    <w:r w:rsidRPr="00F82715">
      <w:rPr>
        <w:rFonts w:ascii="Verdana" w:hAnsi="Verdana" w:cs="Tunga"/>
        <w:b/>
        <w:sz w:val="32"/>
        <w:szCs w:val="32"/>
        <w:lang w:val="en-US"/>
      </w:rPr>
      <w:t>Obec</w:t>
    </w:r>
    <w:proofErr w:type="spellEnd"/>
    <w:r w:rsidRPr="00F82715">
      <w:rPr>
        <w:rFonts w:ascii="Verdana" w:hAnsi="Verdana" w:cs="Tunga"/>
        <w:b/>
        <w:sz w:val="32"/>
        <w:szCs w:val="32"/>
        <w:lang w:val="en-US"/>
      </w:rPr>
      <w:t xml:space="preserve"> </w:t>
    </w:r>
    <w:proofErr w:type="spellStart"/>
    <w:r w:rsidRPr="00F82715">
      <w:rPr>
        <w:rFonts w:ascii="Verdana" w:hAnsi="Verdana" w:cs="Tunga"/>
        <w:b/>
        <w:sz w:val="32"/>
        <w:szCs w:val="32"/>
        <w:lang w:val="en-US"/>
      </w:rPr>
      <w:t>Heřmanice</w:t>
    </w:r>
    <w:proofErr w:type="spellEnd"/>
    <w:r w:rsidRPr="00F82715">
      <w:rPr>
        <w:rFonts w:ascii="Verdana" w:hAnsi="Verdana" w:cs="Tunga"/>
        <w:b/>
        <w:sz w:val="32"/>
        <w:szCs w:val="32"/>
        <w:lang w:val="en-US"/>
      </w:rPr>
      <w:t xml:space="preserve"> </w:t>
    </w:r>
  </w:p>
  <w:p w:rsidR="00D31C5B" w:rsidRDefault="00D31C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5A1"/>
    <w:multiLevelType w:val="hybridMultilevel"/>
    <w:tmpl w:val="6980CF22"/>
    <w:lvl w:ilvl="0" w:tplc="EF0075AA">
      <w:start w:val="1"/>
      <w:numFmt w:val="lowerLetter"/>
      <w:lvlText w:val="%1)"/>
      <w:lvlJc w:val="left"/>
      <w:pPr>
        <w:ind w:left="1080" w:hanging="360"/>
      </w:pPr>
      <w:rPr>
        <w:rFonts w:asciiTheme="minorHAnsi" w:eastAsiaTheme="minorHAnsi" w:hAnsiTheme="minorHAnsi" w:cstheme="minorBid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F7D68C5"/>
    <w:multiLevelType w:val="hybridMultilevel"/>
    <w:tmpl w:val="1B6C7E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F5662"/>
    <w:multiLevelType w:val="hybridMultilevel"/>
    <w:tmpl w:val="68A636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93EC4"/>
    <w:multiLevelType w:val="hybridMultilevel"/>
    <w:tmpl w:val="3D7882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0936717"/>
    <w:multiLevelType w:val="hybridMultilevel"/>
    <w:tmpl w:val="FA1EEC78"/>
    <w:lvl w:ilvl="0" w:tplc="856AAD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2F54A7D"/>
    <w:multiLevelType w:val="hybridMultilevel"/>
    <w:tmpl w:val="D59EA3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FC5225"/>
    <w:multiLevelType w:val="hybridMultilevel"/>
    <w:tmpl w:val="129AF4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B0267"/>
    <w:multiLevelType w:val="hybridMultilevel"/>
    <w:tmpl w:val="905A5EC6"/>
    <w:lvl w:ilvl="0" w:tplc="0405000F">
      <w:start w:val="1"/>
      <w:numFmt w:val="decimal"/>
      <w:lvlText w:val="%1."/>
      <w:lvlJc w:val="left"/>
      <w:pPr>
        <w:tabs>
          <w:tab w:val="num" w:pos="781"/>
        </w:tabs>
        <w:ind w:left="781" w:hanging="360"/>
      </w:pPr>
    </w:lvl>
    <w:lvl w:ilvl="1" w:tplc="04050019" w:tentative="1">
      <w:start w:val="1"/>
      <w:numFmt w:val="lowerLetter"/>
      <w:lvlText w:val="%2."/>
      <w:lvlJc w:val="left"/>
      <w:pPr>
        <w:tabs>
          <w:tab w:val="num" w:pos="1501"/>
        </w:tabs>
        <w:ind w:left="1501" w:hanging="360"/>
      </w:pPr>
    </w:lvl>
    <w:lvl w:ilvl="2" w:tplc="0405001B" w:tentative="1">
      <w:start w:val="1"/>
      <w:numFmt w:val="lowerRoman"/>
      <w:lvlText w:val="%3."/>
      <w:lvlJc w:val="right"/>
      <w:pPr>
        <w:tabs>
          <w:tab w:val="num" w:pos="2221"/>
        </w:tabs>
        <w:ind w:left="2221" w:hanging="180"/>
      </w:pPr>
    </w:lvl>
    <w:lvl w:ilvl="3" w:tplc="0405000F" w:tentative="1">
      <w:start w:val="1"/>
      <w:numFmt w:val="decimal"/>
      <w:lvlText w:val="%4."/>
      <w:lvlJc w:val="left"/>
      <w:pPr>
        <w:tabs>
          <w:tab w:val="num" w:pos="2941"/>
        </w:tabs>
        <w:ind w:left="2941" w:hanging="360"/>
      </w:pPr>
    </w:lvl>
    <w:lvl w:ilvl="4" w:tplc="04050019" w:tentative="1">
      <w:start w:val="1"/>
      <w:numFmt w:val="lowerLetter"/>
      <w:lvlText w:val="%5."/>
      <w:lvlJc w:val="left"/>
      <w:pPr>
        <w:tabs>
          <w:tab w:val="num" w:pos="3661"/>
        </w:tabs>
        <w:ind w:left="3661" w:hanging="360"/>
      </w:pPr>
    </w:lvl>
    <w:lvl w:ilvl="5" w:tplc="0405001B" w:tentative="1">
      <w:start w:val="1"/>
      <w:numFmt w:val="lowerRoman"/>
      <w:lvlText w:val="%6."/>
      <w:lvlJc w:val="right"/>
      <w:pPr>
        <w:tabs>
          <w:tab w:val="num" w:pos="4381"/>
        </w:tabs>
        <w:ind w:left="4381" w:hanging="180"/>
      </w:pPr>
    </w:lvl>
    <w:lvl w:ilvl="6" w:tplc="0405000F" w:tentative="1">
      <w:start w:val="1"/>
      <w:numFmt w:val="decimal"/>
      <w:lvlText w:val="%7."/>
      <w:lvlJc w:val="left"/>
      <w:pPr>
        <w:tabs>
          <w:tab w:val="num" w:pos="5101"/>
        </w:tabs>
        <w:ind w:left="5101" w:hanging="360"/>
      </w:pPr>
    </w:lvl>
    <w:lvl w:ilvl="7" w:tplc="04050019" w:tentative="1">
      <w:start w:val="1"/>
      <w:numFmt w:val="lowerLetter"/>
      <w:lvlText w:val="%8."/>
      <w:lvlJc w:val="left"/>
      <w:pPr>
        <w:tabs>
          <w:tab w:val="num" w:pos="5821"/>
        </w:tabs>
        <w:ind w:left="5821" w:hanging="360"/>
      </w:pPr>
    </w:lvl>
    <w:lvl w:ilvl="8" w:tplc="0405001B" w:tentative="1">
      <w:start w:val="1"/>
      <w:numFmt w:val="lowerRoman"/>
      <w:lvlText w:val="%9."/>
      <w:lvlJc w:val="right"/>
      <w:pPr>
        <w:tabs>
          <w:tab w:val="num" w:pos="6541"/>
        </w:tabs>
        <w:ind w:left="6541" w:hanging="180"/>
      </w:pPr>
    </w:lvl>
  </w:abstractNum>
  <w:abstractNum w:abstractNumId="8" w15:restartNumberingAfterBreak="0">
    <w:nsid w:val="318F6921"/>
    <w:multiLevelType w:val="hybridMultilevel"/>
    <w:tmpl w:val="35F8B7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552"/>
    <w:multiLevelType w:val="hybridMultilevel"/>
    <w:tmpl w:val="DDACA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AA0741"/>
    <w:multiLevelType w:val="hybridMultilevel"/>
    <w:tmpl w:val="8744D5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1E7B9F"/>
    <w:multiLevelType w:val="hybridMultilevel"/>
    <w:tmpl w:val="2A52E2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73E14"/>
    <w:multiLevelType w:val="hybridMultilevel"/>
    <w:tmpl w:val="06A8D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9973BD"/>
    <w:multiLevelType w:val="hybridMultilevel"/>
    <w:tmpl w:val="B24A57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9C6CB1"/>
    <w:multiLevelType w:val="hybridMultilevel"/>
    <w:tmpl w:val="CEA08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C46F46"/>
    <w:multiLevelType w:val="hybridMultilevel"/>
    <w:tmpl w:val="AED227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1861DF"/>
    <w:multiLevelType w:val="hybridMultilevel"/>
    <w:tmpl w:val="5D2851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B84919"/>
    <w:multiLevelType w:val="hybridMultilevel"/>
    <w:tmpl w:val="12D497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E96F4F"/>
    <w:multiLevelType w:val="hybridMultilevel"/>
    <w:tmpl w:val="6B2E40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9C01B0"/>
    <w:multiLevelType w:val="hybridMultilevel"/>
    <w:tmpl w:val="B30C52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825E66"/>
    <w:multiLevelType w:val="hybridMultilevel"/>
    <w:tmpl w:val="592ED4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5"/>
  </w:num>
  <w:num w:numId="5">
    <w:abstractNumId w:val="3"/>
  </w:num>
  <w:num w:numId="6">
    <w:abstractNumId w:val="9"/>
  </w:num>
  <w:num w:numId="7">
    <w:abstractNumId w:val="0"/>
  </w:num>
  <w:num w:numId="8">
    <w:abstractNumId w:val="15"/>
  </w:num>
  <w:num w:numId="9">
    <w:abstractNumId w:val="6"/>
  </w:num>
  <w:num w:numId="10">
    <w:abstractNumId w:val="20"/>
  </w:num>
  <w:num w:numId="11">
    <w:abstractNumId w:val="2"/>
  </w:num>
  <w:num w:numId="12">
    <w:abstractNumId w:val="13"/>
  </w:num>
  <w:num w:numId="13">
    <w:abstractNumId w:val="17"/>
  </w:num>
  <w:num w:numId="14">
    <w:abstractNumId w:val="19"/>
  </w:num>
  <w:num w:numId="15">
    <w:abstractNumId w:val="16"/>
  </w:num>
  <w:num w:numId="16">
    <w:abstractNumId w:val="12"/>
  </w:num>
  <w:num w:numId="17">
    <w:abstractNumId w:val="8"/>
  </w:num>
  <w:num w:numId="18">
    <w:abstractNumId w:val="18"/>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o:colormru v:ext="edit" colors="#bebeea,#d5da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15"/>
    <w:rsid w:val="00004591"/>
    <w:rsid w:val="000163B5"/>
    <w:rsid w:val="00030807"/>
    <w:rsid w:val="00035117"/>
    <w:rsid w:val="00045CA9"/>
    <w:rsid w:val="00064C83"/>
    <w:rsid w:val="000863AE"/>
    <w:rsid w:val="00092F55"/>
    <w:rsid w:val="000A0D43"/>
    <w:rsid w:val="000A2753"/>
    <w:rsid w:val="000A68CB"/>
    <w:rsid w:val="000B7EB8"/>
    <w:rsid w:val="000E1ACF"/>
    <w:rsid w:val="000E29EF"/>
    <w:rsid w:val="000F5F79"/>
    <w:rsid w:val="00122CA9"/>
    <w:rsid w:val="001233B5"/>
    <w:rsid w:val="00123872"/>
    <w:rsid w:val="0012393A"/>
    <w:rsid w:val="00133FA2"/>
    <w:rsid w:val="0015096F"/>
    <w:rsid w:val="00151B69"/>
    <w:rsid w:val="00164704"/>
    <w:rsid w:val="00165531"/>
    <w:rsid w:val="00172DB0"/>
    <w:rsid w:val="00174799"/>
    <w:rsid w:val="001822EB"/>
    <w:rsid w:val="00187D17"/>
    <w:rsid w:val="001A094E"/>
    <w:rsid w:val="001A0A32"/>
    <w:rsid w:val="001A3E38"/>
    <w:rsid w:val="001B28D1"/>
    <w:rsid w:val="001C5E71"/>
    <w:rsid w:val="001F1F8A"/>
    <w:rsid w:val="00225780"/>
    <w:rsid w:val="00240AD8"/>
    <w:rsid w:val="0024252A"/>
    <w:rsid w:val="002528F3"/>
    <w:rsid w:val="00261489"/>
    <w:rsid w:val="002638A2"/>
    <w:rsid w:val="00267705"/>
    <w:rsid w:val="00294136"/>
    <w:rsid w:val="00296E0E"/>
    <w:rsid w:val="002A385C"/>
    <w:rsid w:val="002A3C50"/>
    <w:rsid w:val="002C1DFF"/>
    <w:rsid w:val="002D50F4"/>
    <w:rsid w:val="002E0AA4"/>
    <w:rsid w:val="002E1ADB"/>
    <w:rsid w:val="002E54FB"/>
    <w:rsid w:val="00316E51"/>
    <w:rsid w:val="003350AD"/>
    <w:rsid w:val="003360CC"/>
    <w:rsid w:val="00337AC5"/>
    <w:rsid w:val="003433B8"/>
    <w:rsid w:val="0034778F"/>
    <w:rsid w:val="0035450F"/>
    <w:rsid w:val="003550F3"/>
    <w:rsid w:val="003576FD"/>
    <w:rsid w:val="00362AE9"/>
    <w:rsid w:val="00396301"/>
    <w:rsid w:val="003970B6"/>
    <w:rsid w:val="003D07DD"/>
    <w:rsid w:val="003E1B2C"/>
    <w:rsid w:val="003F3459"/>
    <w:rsid w:val="003F3C8D"/>
    <w:rsid w:val="003F4ECA"/>
    <w:rsid w:val="003F52A8"/>
    <w:rsid w:val="003F79FC"/>
    <w:rsid w:val="004075DD"/>
    <w:rsid w:val="00411099"/>
    <w:rsid w:val="004252A5"/>
    <w:rsid w:val="00433ADA"/>
    <w:rsid w:val="0044530C"/>
    <w:rsid w:val="004558B7"/>
    <w:rsid w:val="00470836"/>
    <w:rsid w:val="00472673"/>
    <w:rsid w:val="0048156D"/>
    <w:rsid w:val="004A411A"/>
    <w:rsid w:val="004D267C"/>
    <w:rsid w:val="004D33D9"/>
    <w:rsid w:val="004D6C16"/>
    <w:rsid w:val="004E0F18"/>
    <w:rsid w:val="004F7B34"/>
    <w:rsid w:val="0051695D"/>
    <w:rsid w:val="005246C1"/>
    <w:rsid w:val="00524F15"/>
    <w:rsid w:val="005650B0"/>
    <w:rsid w:val="00567FBA"/>
    <w:rsid w:val="00577BE1"/>
    <w:rsid w:val="00581F1A"/>
    <w:rsid w:val="00582F0E"/>
    <w:rsid w:val="005A5C31"/>
    <w:rsid w:val="005A791D"/>
    <w:rsid w:val="005B29F7"/>
    <w:rsid w:val="005B5724"/>
    <w:rsid w:val="005C0045"/>
    <w:rsid w:val="005D38DB"/>
    <w:rsid w:val="005E26FE"/>
    <w:rsid w:val="005E676E"/>
    <w:rsid w:val="005F5155"/>
    <w:rsid w:val="00603D52"/>
    <w:rsid w:val="00611750"/>
    <w:rsid w:val="00612D07"/>
    <w:rsid w:val="00614733"/>
    <w:rsid w:val="00615371"/>
    <w:rsid w:val="00615922"/>
    <w:rsid w:val="00623D39"/>
    <w:rsid w:val="00623E79"/>
    <w:rsid w:val="00625067"/>
    <w:rsid w:val="00633700"/>
    <w:rsid w:val="0064110F"/>
    <w:rsid w:val="0064564F"/>
    <w:rsid w:val="00646911"/>
    <w:rsid w:val="00651905"/>
    <w:rsid w:val="00660419"/>
    <w:rsid w:val="006606D4"/>
    <w:rsid w:val="0066665C"/>
    <w:rsid w:val="006720D3"/>
    <w:rsid w:val="006835AF"/>
    <w:rsid w:val="00696203"/>
    <w:rsid w:val="006B315D"/>
    <w:rsid w:val="006B756C"/>
    <w:rsid w:val="006D48ED"/>
    <w:rsid w:val="006E1713"/>
    <w:rsid w:val="006F30D7"/>
    <w:rsid w:val="00703DAC"/>
    <w:rsid w:val="00711052"/>
    <w:rsid w:val="00716193"/>
    <w:rsid w:val="00726BF8"/>
    <w:rsid w:val="00734539"/>
    <w:rsid w:val="0073716C"/>
    <w:rsid w:val="007633FC"/>
    <w:rsid w:val="007634D4"/>
    <w:rsid w:val="00764DFF"/>
    <w:rsid w:val="00776883"/>
    <w:rsid w:val="007853D9"/>
    <w:rsid w:val="00786128"/>
    <w:rsid w:val="007961C6"/>
    <w:rsid w:val="007A1D45"/>
    <w:rsid w:val="007A78B4"/>
    <w:rsid w:val="007C456F"/>
    <w:rsid w:val="007C4BF0"/>
    <w:rsid w:val="007E2623"/>
    <w:rsid w:val="007F77AE"/>
    <w:rsid w:val="008069A4"/>
    <w:rsid w:val="008102A3"/>
    <w:rsid w:val="008111A3"/>
    <w:rsid w:val="00817771"/>
    <w:rsid w:val="00830CF1"/>
    <w:rsid w:val="00832091"/>
    <w:rsid w:val="008359E1"/>
    <w:rsid w:val="0083701D"/>
    <w:rsid w:val="008404FA"/>
    <w:rsid w:val="00856FD4"/>
    <w:rsid w:val="00885E70"/>
    <w:rsid w:val="008A5B31"/>
    <w:rsid w:val="008B759E"/>
    <w:rsid w:val="008C14D5"/>
    <w:rsid w:val="00903F39"/>
    <w:rsid w:val="00904948"/>
    <w:rsid w:val="00910A2B"/>
    <w:rsid w:val="0091625D"/>
    <w:rsid w:val="00925CCC"/>
    <w:rsid w:val="00931F20"/>
    <w:rsid w:val="009424EC"/>
    <w:rsid w:val="00944A7A"/>
    <w:rsid w:val="00944A87"/>
    <w:rsid w:val="00946A97"/>
    <w:rsid w:val="00960716"/>
    <w:rsid w:val="00962180"/>
    <w:rsid w:val="0096422A"/>
    <w:rsid w:val="00982160"/>
    <w:rsid w:val="00993C42"/>
    <w:rsid w:val="009977D3"/>
    <w:rsid w:val="00997F55"/>
    <w:rsid w:val="009A4D88"/>
    <w:rsid w:val="009B65AF"/>
    <w:rsid w:val="009C1B75"/>
    <w:rsid w:val="009C2869"/>
    <w:rsid w:val="009E1B12"/>
    <w:rsid w:val="009E345E"/>
    <w:rsid w:val="00A0524D"/>
    <w:rsid w:val="00A30D06"/>
    <w:rsid w:val="00A57A05"/>
    <w:rsid w:val="00A6784E"/>
    <w:rsid w:val="00A75003"/>
    <w:rsid w:val="00A75125"/>
    <w:rsid w:val="00A83D9D"/>
    <w:rsid w:val="00A870EA"/>
    <w:rsid w:val="00A913B7"/>
    <w:rsid w:val="00A9390D"/>
    <w:rsid w:val="00AB62B3"/>
    <w:rsid w:val="00AC3E45"/>
    <w:rsid w:val="00AD00C7"/>
    <w:rsid w:val="00AD251B"/>
    <w:rsid w:val="00AD4F7C"/>
    <w:rsid w:val="00AE4863"/>
    <w:rsid w:val="00AF0975"/>
    <w:rsid w:val="00B306C3"/>
    <w:rsid w:val="00B35361"/>
    <w:rsid w:val="00B41947"/>
    <w:rsid w:val="00B57854"/>
    <w:rsid w:val="00B610CB"/>
    <w:rsid w:val="00B66948"/>
    <w:rsid w:val="00B755FC"/>
    <w:rsid w:val="00B77DB6"/>
    <w:rsid w:val="00BB09CD"/>
    <w:rsid w:val="00BB3229"/>
    <w:rsid w:val="00BE0A38"/>
    <w:rsid w:val="00BE0CBE"/>
    <w:rsid w:val="00BE2792"/>
    <w:rsid w:val="00BE5B36"/>
    <w:rsid w:val="00BE6B87"/>
    <w:rsid w:val="00C12227"/>
    <w:rsid w:val="00C1539F"/>
    <w:rsid w:val="00C2635A"/>
    <w:rsid w:val="00C26779"/>
    <w:rsid w:val="00C50A94"/>
    <w:rsid w:val="00C51088"/>
    <w:rsid w:val="00C76EA0"/>
    <w:rsid w:val="00C85202"/>
    <w:rsid w:val="00C964FC"/>
    <w:rsid w:val="00C97E6E"/>
    <w:rsid w:val="00C97EA7"/>
    <w:rsid w:val="00CB4CC7"/>
    <w:rsid w:val="00CE73F5"/>
    <w:rsid w:val="00CF1527"/>
    <w:rsid w:val="00D03EA5"/>
    <w:rsid w:val="00D05DC2"/>
    <w:rsid w:val="00D31911"/>
    <w:rsid w:val="00D31C5B"/>
    <w:rsid w:val="00D45561"/>
    <w:rsid w:val="00D47958"/>
    <w:rsid w:val="00D507C7"/>
    <w:rsid w:val="00D6292D"/>
    <w:rsid w:val="00D82509"/>
    <w:rsid w:val="00DA2BCF"/>
    <w:rsid w:val="00DA370A"/>
    <w:rsid w:val="00DA68DF"/>
    <w:rsid w:val="00DB39A8"/>
    <w:rsid w:val="00DC5A55"/>
    <w:rsid w:val="00DE5A2C"/>
    <w:rsid w:val="00DE6776"/>
    <w:rsid w:val="00DF1681"/>
    <w:rsid w:val="00E00299"/>
    <w:rsid w:val="00E11EE7"/>
    <w:rsid w:val="00E30F6B"/>
    <w:rsid w:val="00E559E2"/>
    <w:rsid w:val="00E564ED"/>
    <w:rsid w:val="00E75B53"/>
    <w:rsid w:val="00E86BDA"/>
    <w:rsid w:val="00E96262"/>
    <w:rsid w:val="00EA369F"/>
    <w:rsid w:val="00EA3D9C"/>
    <w:rsid w:val="00EB30A2"/>
    <w:rsid w:val="00EB73BD"/>
    <w:rsid w:val="00EC7AEE"/>
    <w:rsid w:val="00ED381B"/>
    <w:rsid w:val="00EF12F5"/>
    <w:rsid w:val="00F049B6"/>
    <w:rsid w:val="00F04D95"/>
    <w:rsid w:val="00F174CC"/>
    <w:rsid w:val="00F223F3"/>
    <w:rsid w:val="00F2743A"/>
    <w:rsid w:val="00F44E46"/>
    <w:rsid w:val="00F53B0E"/>
    <w:rsid w:val="00F65869"/>
    <w:rsid w:val="00F82715"/>
    <w:rsid w:val="00F871CB"/>
    <w:rsid w:val="00FA2050"/>
    <w:rsid w:val="00FC43C4"/>
    <w:rsid w:val="00FD621C"/>
    <w:rsid w:val="00FD7D28"/>
    <w:rsid w:val="00FE6DE3"/>
    <w:rsid w:val="00FE7AC3"/>
    <w:rsid w:val="00FF7D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ea,#d5daf3"/>
    </o:shapedefaults>
    <o:shapelayout v:ext="edit">
      <o:idmap v:ext="edit" data="1"/>
    </o:shapelayout>
  </w:shapeDefaults>
  <w:decimalSymbol w:val=","/>
  <w:listSeparator w:val=";"/>
  <w14:docId w14:val="03C1C523"/>
  <w15:chartTrackingRefBased/>
  <w15:docId w15:val="{1220189C-7153-4979-BBB3-4DC6B641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320"/>
        <w:tab w:val="right" w:pos="8640"/>
      </w:tabs>
    </w:pPr>
  </w:style>
  <w:style w:type="paragraph" w:styleId="Zpat">
    <w:name w:val="footer"/>
    <w:basedOn w:val="Normln"/>
    <w:pPr>
      <w:tabs>
        <w:tab w:val="center" w:pos="4320"/>
        <w:tab w:val="right" w:pos="8640"/>
      </w:tabs>
    </w:pPr>
  </w:style>
  <w:style w:type="paragraph" w:styleId="Zvr">
    <w:name w:val="Closing"/>
    <w:basedOn w:val="Normln"/>
    <w:pPr>
      <w:spacing w:after="960"/>
    </w:pPr>
  </w:style>
  <w:style w:type="paragraph" w:styleId="Podpis">
    <w:name w:val="Signature"/>
    <w:basedOn w:val="Normln"/>
    <w:pPr>
      <w:spacing w:before="960" w:after="240"/>
    </w:pPr>
  </w:style>
  <w:style w:type="paragraph" w:styleId="Zkladntext">
    <w:name w:val="Body Text"/>
    <w:basedOn w:val="Normln"/>
    <w:pPr>
      <w:spacing w:after="240"/>
    </w:pPr>
  </w:style>
  <w:style w:type="character" w:styleId="Hypertextovodkaz">
    <w:name w:val="Hyperlink"/>
    <w:rsid w:val="00696203"/>
    <w:rPr>
      <w:color w:val="000000"/>
      <w:u w:val="single"/>
    </w:rPr>
  </w:style>
  <w:style w:type="paragraph" w:styleId="Osloven">
    <w:name w:val="Salutation"/>
    <w:basedOn w:val="Normln"/>
    <w:next w:val="Normln"/>
    <w:pPr>
      <w:spacing w:before="480" w:after="240"/>
    </w:pPr>
  </w:style>
  <w:style w:type="paragraph" w:styleId="Datum">
    <w:name w:val="Date"/>
    <w:basedOn w:val="Normln"/>
    <w:next w:val="Normln"/>
    <w:pPr>
      <w:spacing w:before="480" w:after="480"/>
    </w:pPr>
  </w:style>
  <w:style w:type="paragraph" w:customStyle="1" w:styleId="KopieOblka">
    <w:name w:val="Kopie:/Obálka"/>
    <w:basedOn w:val="Normln"/>
    <w:pPr>
      <w:tabs>
        <w:tab w:val="left" w:pos="1440"/>
      </w:tabs>
      <w:spacing w:after="240"/>
      <w:ind w:left="1440" w:hanging="1440"/>
    </w:pPr>
    <w:rPr>
      <w:lang w:val="en-US" w:eastAsia="en-US" w:bidi="en-US"/>
    </w:rPr>
  </w:style>
  <w:style w:type="paragraph" w:customStyle="1" w:styleId="Adresapjemce">
    <w:name w:val="Adresa příjemce"/>
    <w:basedOn w:val="Normln"/>
    <w:rPr>
      <w:lang w:val="en-US" w:eastAsia="en-US" w:bidi="en-US"/>
    </w:rPr>
  </w:style>
  <w:style w:type="character" w:customStyle="1" w:styleId="AdresaodeslateleCharChar">
    <w:name w:val="Adresa odesílatele Char Char"/>
    <w:link w:val="Adresaodeslatele"/>
    <w:rPr>
      <w:rFonts w:ascii="Arial" w:hAnsi="Arial" w:cs="Arial" w:hint="default"/>
      <w:i/>
      <w:iCs w:val="0"/>
      <w:sz w:val="24"/>
      <w:szCs w:val="24"/>
      <w:lang w:val="en-US" w:eastAsia="en-US" w:bidi="en-US"/>
    </w:rPr>
  </w:style>
  <w:style w:type="paragraph" w:customStyle="1" w:styleId="Adresaodeslatele">
    <w:name w:val="Adresa odesílatele"/>
    <w:basedOn w:val="Normln"/>
    <w:link w:val="AdresaodeslateleCharChar"/>
    <w:pPr>
      <w:ind w:left="4320"/>
      <w:jc w:val="right"/>
    </w:pPr>
    <w:rPr>
      <w:i/>
      <w:lang w:val="en-US" w:eastAsia="en-US" w:bidi="en-US"/>
    </w:rPr>
  </w:style>
  <w:style w:type="character" w:customStyle="1" w:styleId="JmnoodeslateleCharChar">
    <w:name w:val="Jméno odesílatele Char Char"/>
    <w:link w:val="Jmnoodeslatele"/>
    <w:rPr>
      <w:rFonts w:ascii="Arial" w:hAnsi="Arial" w:cs="Arial" w:hint="default"/>
      <w:b/>
      <w:bCs/>
      <w:i/>
      <w:iCs/>
      <w:color w:val="333399"/>
      <w:sz w:val="32"/>
      <w:szCs w:val="32"/>
      <w:lang w:val="en-US" w:eastAsia="en-US" w:bidi="en-US"/>
    </w:rPr>
  </w:style>
  <w:style w:type="paragraph" w:customStyle="1" w:styleId="Jmnoodeslatele">
    <w:name w:val="Jméno odesílatele"/>
    <w:basedOn w:val="Normln"/>
    <w:next w:val="Adresaodeslatele"/>
    <w:link w:val="JmnoodeslateleCharChar"/>
    <w:pPr>
      <w:spacing w:before="240"/>
      <w:jc w:val="right"/>
    </w:pPr>
    <w:rPr>
      <w:b/>
      <w:bCs/>
      <w:i/>
      <w:iCs/>
      <w:color w:val="333399"/>
      <w:sz w:val="32"/>
      <w:szCs w:val="32"/>
      <w:lang w:val="en-US" w:eastAsia="en-US" w:bidi="en-US"/>
    </w:rPr>
  </w:style>
  <w:style w:type="table" w:customStyle="1" w:styleId="TableNormal">
    <w:name w:val="Table Normal"/>
    <w:semiHidden/>
    <w:rPr>
      <w:lang w:val="en-US" w:eastAsia="en-US" w:bidi="en-US"/>
    </w:rPr>
    <w:tblPr>
      <w:tblCellMar>
        <w:top w:w="0" w:type="dxa"/>
        <w:left w:w="108" w:type="dxa"/>
        <w:bottom w:w="0" w:type="dxa"/>
        <w:right w:w="108" w:type="dxa"/>
      </w:tblCellMar>
    </w:tblPr>
  </w:style>
  <w:style w:type="table" w:customStyle="1" w:styleId="Mkatabulky1">
    <w:name w:val="Mřížka tabulky1"/>
    <w:basedOn w:val="Normlntabulka"/>
    <w:semiHidden/>
    <w:rPr>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
    <w:name w:val="Styl1"/>
    <w:basedOn w:val="Normlntabulka"/>
    <w:rPr>
      <w:lang w:val="en-US" w:eastAsia="en-US" w:bidi="en-US"/>
    </w:rPr>
    <w:tblPr>
      <w:tblInd w:w="0" w:type="nil"/>
    </w:tblPr>
  </w:style>
  <w:style w:type="table" w:customStyle="1" w:styleId="Poadavky">
    <w:name w:val="Požadavky"/>
    <w:basedOn w:val="Normlntabulka"/>
    <w:rPr>
      <w:rFonts w:ascii="Arial" w:hAnsi="Arial" w:cs="Arial"/>
      <w:lang w:val="en-US" w:eastAsia="en-US" w:bidi="en-US"/>
    </w:rPr>
    <w:tblPr>
      <w:tblInd w:w="0" w:type="nil"/>
    </w:tblPr>
  </w:style>
  <w:style w:type="paragraph" w:styleId="Normlnweb">
    <w:name w:val="Normal (Web)"/>
    <w:basedOn w:val="Normln"/>
    <w:rsid w:val="00703DAC"/>
    <w:pPr>
      <w:spacing w:before="100" w:beforeAutospacing="1" w:after="100" w:afterAutospacing="1"/>
    </w:pPr>
    <w:rPr>
      <w:rFonts w:ascii="Times New Roman" w:hAnsi="Times New Roman" w:cs="Times New Roman"/>
      <w:sz w:val="24"/>
      <w:szCs w:val="24"/>
    </w:rPr>
  </w:style>
  <w:style w:type="paragraph" w:styleId="Textbubliny">
    <w:name w:val="Balloon Text"/>
    <w:basedOn w:val="Normln"/>
    <w:link w:val="TextbublinyChar"/>
    <w:rsid w:val="001C5E71"/>
    <w:rPr>
      <w:rFonts w:ascii="Segoe UI" w:hAnsi="Segoe UI" w:cs="Segoe UI"/>
      <w:sz w:val="18"/>
      <w:szCs w:val="18"/>
    </w:rPr>
  </w:style>
  <w:style w:type="character" w:customStyle="1" w:styleId="TextbublinyChar">
    <w:name w:val="Text bubliny Char"/>
    <w:link w:val="Textbubliny"/>
    <w:rsid w:val="001C5E71"/>
    <w:rPr>
      <w:rFonts w:ascii="Segoe UI" w:hAnsi="Segoe UI" w:cs="Segoe UI"/>
      <w:sz w:val="18"/>
      <w:szCs w:val="18"/>
    </w:rPr>
  </w:style>
  <w:style w:type="character" w:customStyle="1" w:styleId="apple-converted-space">
    <w:name w:val="apple-converted-space"/>
    <w:rsid w:val="005F5155"/>
  </w:style>
  <w:style w:type="character" w:styleId="Siln">
    <w:name w:val="Strong"/>
    <w:uiPriority w:val="22"/>
    <w:qFormat/>
    <w:rsid w:val="005F5155"/>
    <w:rPr>
      <w:b/>
      <w:bCs/>
    </w:rPr>
  </w:style>
  <w:style w:type="paragraph" w:styleId="Odstavecseseznamem">
    <w:name w:val="List Paragraph"/>
    <w:basedOn w:val="Normln"/>
    <w:uiPriority w:val="34"/>
    <w:qFormat/>
    <w:rsid w:val="00997F55"/>
    <w:pPr>
      <w:spacing w:after="160" w:line="259" w:lineRule="auto"/>
      <w:ind w:left="720"/>
      <w:contextualSpacing/>
    </w:pPr>
    <w:rPr>
      <w:rFonts w:ascii="Calibri" w:eastAsia="Calibri" w:hAnsi="Calibri" w:cs="Times New Roman"/>
      <w:sz w:val="22"/>
      <w:szCs w:val="22"/>
      <w:lang w:eastAsia="en-US"/>
    </w:rPr>
  </w:style>
  <w:style w:type="table" w:styleId="Mkatabulky">
    <w:name w:val="Table Grid"/>
    <w:basedOn w:val="Normlntabulka"/>
    <w:uiPriority w:val="39"/>
    <w:rsid w:val="00997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41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9336">
      <w:marLeft w:val="0"/>
      <w:marRight w:val="0"/>
      <w:marTop w:val="0"/>
      <w:marBottom w:val="0"/>
      <w:divBdr>
        <w:top w:val="none" w:sz="0" w:space="0" w:color="auto"/>
        <w:left w:val="none" w:sz="0" w:space="0" w:color="auto"/>
        <w:bottom w:val="none" w:sz="0" w:space="0" w:color="auto"/>
        <w:right w:val="none" w:sz="0" w:space="0" w:color="auto"/>
      </w:divBdr>
    </w:div>
    <w:div w:id="424420164">
      <w:marLeft w:val="0"/>
      <w:marRight w:val="0"/>
      <w:marTop w:val="0"/>
      <w:marBottom w:val="0"/>
      <w:divBdr>
        <w:top w:val="none" w:sz="0" w:space="0" w:color="auto"/>
        <w:left w:val="none" w:sz="0" w:space="0" w:color="auto"/>
        <w:bottom w:val="none" w:sz="0" w:space="0" w:color="auto"/>
        <w:right w:val="none" w:sz="0" w:space="0" w:color="auto"/>
      </w:divBdr>
      <w:divsChild>
        <w:div w:id="28843955">
          <w:marLeft w:val="0"/>
          <w:marRight w:val="0"/>
          <w:marTop w:val="0"/>
          <w:marBottom w:val="0"/>
          <w:divBdr>
            <w:top w:val="none" w:sz="0" w:space="0" w:color="auto"/>
            <w:left w:val="none" w:sz="0" w:space="0" w:color="auto"/>
            <w:bottom w:val="none" w:sz="0" w:space="0" w:color="auto"/>
            <w:right w:val="none" w:sz="0" w:space="0" w:color="auto"/>
          </w:divBdr>
          <w:divsChild>
            <w:div w:id="807167600">
              <w:marLeft w:val="0"/>
              <w:marRight w:val="0"/>
              <w:marTop w:val="0"/>
              <w:marBottom w:val="0"/>
              <w:divBdr>
                <w:top w:val="single" w:sz="18" w:space="0" w:color="FFBF00"/>
                <w:left w:val="single" w:sz="18" w:space="0" w:color="FFBF00"/>
                <w:bottom w:val="single" w:sz="2" w:space="0" w:color="FFBF00"/>
                <w:right w:val="single" w:sz="2" w:space="0" w:color="FFBF00"/>
              </w:divBdr>
              <w:divsChild>
                <w:div w:id="1864124115">
                  <w:marLeft w:val="0"/>
                  <w:marRight w:val="0"/>
                  <w:marTop w:val="0"/>
                  <w:marBottom w:val="0"/>
                  <w:divBdr>
                    <w:top w:val="none" w:sz="0" w:space="0" w:color="auto"/>
                    <w:left w:val="none" w:sz="0" w:space="0" w:color="auto"/>
                    <w:bottom w:val="none" w:sz="0" w:space="0" w:color="auto"/>
                    <w:right w:val="none" w:sz="0" w:space="0" w:color="auto"/>
                  </w:divBdr>
                  <w:divsChild>
                    <w:div w:id="1960531516">
                      <w:marLeft w:val="0"/>
                      <w:marRight w:val="0"/>
                      <w:marTop w:val="0"/>
                      <w:marBottom w:val="0"/>
                      <w:divBdr>
                        <w:top w:val="none" w:sz="0" w:space="0" w:color="auto"/>
                        <w:left w:val="none" w:sz="0" w:space="0" w:color="auto"/>
                        <w:bottom w:val="none" w:sz="0" w:space="0" w:color="auto"/>
                        <w:right w:val="none" w:sz="0" w:space="0" w:color="auto"/>
                      </w:divBdr>
                      <w:divsChild>
                        <w:div w:id="2025594645">
                          <w:marLeft w:val="0"/>
                          <w:marRight w:val="0"/>
                          <w:marTop w:val="0"/>
                          <w:marBottom w:val="0"/>
                          <w:divBdr>
                            <w:top w:val="none" w:sz="0" w:space="0" w:color="auto"/>
                            <w:left w:val="none" w:sz="0" w:space="0" w:color="auto"/>
                            <w:bottom w:val="none" w:sz="0" w:space="0" w:color="auto"/>
                            <w:right w:val="none" w:sz="0" w:space="0" w:color="auto"/>
                          </w:divBdr>
                          <w:divsChild>
                            <w:div w:id="1040403037">
                              <w:marLeft w:val="0"/>
                              <w:marRight w:val="0"/>
                              <w:marTop w:val="0"/>
                              <w:marBottom w:val="0"/>
                              <w:divBdr>
                                <w:top w:val="none" w:sz="0" w:space="0" w:color="auto"/>
                                <w:left w:val="none" w:sz="0" w:space="0" w:color="auto"/>
                                <w:bottom w:val="none" w:sz="0" w:space="0" w:color="auto"/>
                                <w:right w:val="none" w:sz="0" w:space="0" w:color="auto"/>
                              </w:divBdr>
                              <w:divsChild>
                                <w:div w:id="1004085675">
                                  <w:marLeft w:val="0"/>
                                  <w:marRight w:val="0"/>
                                  <w:marTop w:val="0"/>
                                  <w:marBottom w:val="0"/>
                                  <w:divBdr>
                                    <w:top w:val="none" w:sz="0" w:space="0" w:color="auto"/>
                                    <w:left w:val="none" w:sz="0" w:space="0" w:color="auto"/>
                                    <w:bottom w:val="none" w:sz="0" w:space="0" w:color="auto"/>
                                    <w:right w:val="none" w:sz="0" w:space="0" w:color="auto"/>
                                  </w:divBdr>
                                  <w:divsChild>
                                    <w:div w:id="1572496960">
                                      <w:marLeft w:val="0"/>
                                      <w:marRight w:val="0"/>
                                      <w:marTop w:val="0"/>
                                      <w:marBottom w:val="0"/>
                                      <w:divBdr>
                                        <w:top w:val="none" w:sz="0" w:space="0" w:color="auto"/>
                                        <w:left w:val="none" w:sz="0" w:space="0" w:color="auto"/>
                                        <w:bottom w:val="none" w:sz="0" w:space="0" w:color="auto"/>
                                        <w:right w:val="none" w:sz="0" w:space="0" w:color="auto"/>
                                      </w:divBdr>
                                      <w:divsChild>
                                        <w:div w:id="1431195519">
                                          <w:marLeft w:val="0"/>
                                          <w:marRight w:val="0"/>
                                          <w:marTop w:val="0"/>
                                          <w:marBottom w:val="0"/>
                                          <w:divBdr>
                                            <w:top w:val="none" w:sz="0" w:space="0" w:color="auto"/>
                                            <w:left w:val="none" w:sz="0" w:space="0" w:color="auto"/>
                                            <w:bottom w:val="none" w:sz="0" w:space="0" w:color="auto"/>
                                            <w:right w:val="none" w:sz="0" w:space="0" w:color="auto"/>
                                          </w:divBdr>
                                          <w:divsChild>
                                            <w:div w:id="3829732">
                                              <w:marLeft w:val="0"/>
                                              <w:marRight w:val="0"/>
                                              <w:marTop w:val="0"/>
                                              <w:marBottom w:val="0"/>
                                              <w:divBdr>
                                                <w:top w:val="none" w:sz="0" w:space="0" w:color="auto"/>
                                                <w:left w:val="none" w:sz="0" w:space="0" w:color="auto"/>
                                                <w:bottom w:val="none" w:sz="0" w:space="0" w:color="auto"/>
                                                <w:right w:val="none" w:sz="0" w:space="0" w:color="auto"/>
                                              </w:divBdr>
                                            </w:div>
                                            <w:div w:id="208958038">
                                              <w:marLeft w:val="0"/>
                                              <w:marRight w:val="0"/>
                                              <w:marTop w:val="0"/>
                                              <w:marBottom w:val="0"/>
                                              <w:divBdr>
                                                <w:top w:val="none" w:sz="0" w:space="0" w:color="auto"/>
                                                <w:left w:val="none" w:sz="0" w:space="0" w:color="auto"/>
                                                <w:bottom w:val="none" w:sz="0" w:space="0" w:color="auto"/>
                                                <w:right w:val="none" w:sz="0" w:space="0" w:color="auto"/>
                                              </w:divBdr>
                                            </w:div>
                                            <w:div w:id="405151348">
                                              <w:marLeft w:val="0"/>
                                              <w:marRight w:val="0"/>
                                              <w:marTop w:val="0"/>
                                              <w:marBottom w:val="0"/>
                                              <w:divBdr>
                                                <w:top w:val="none" w:sz="0" w:space="0" w:color="auto"/>
                                                <w:left w:val="none" w:sz="0" w:space="0" w:color="auto"/>
                                                <w:bottom w:val="none" w:sz="0" w:space="0" w:color="auto"/>
                                                <w:right w:val="none" w:sz="0" w:space="0" w:color="auto"/>
                                              </w:divBdr>
                                            </w:div>
                                            <w:div w:id="449856228">
                                              <w:marLeft w:val="0"/>
                                              <w:marRight w:val="0"/>
                                              <w:marTop w:val="0"/>
                                              <w:marBottom w:val="0"/>
                                              <w:divBdr>
                                                <w:top w:val="none" w:sz="0" w:space="0" w:color="auto"/>
                                                <w:left w:val="none" w:sz="0" w:space="0" w:color="auto"/>
                                                <w:bottom w:val="none" w:sz="0" w:space="0" w:color="auto"/>
                                                <w:right w:val="none" w:sz="0" w:space="0" w:color="auto"/>
                                              </w:divBdr>
                                            </w:div>
                                            <w:div w:id="914434296">
                                              <w:marLeft w:val="0"/>
                                              <w:marRight w:val="0"/>
                                              <w:marTop w:val="0"/>
                                              <w:marBottom w:val="0"/>
                                              <w:divBdr>
                                                <w:top w:val="none" w:sz="0" w:space="0" w:color="auto"/>
                                                <w:left w:val="none" w:sz="0" w:space="0" w:color="auto"/>
                                                <w:bottom w:val="none" w:sz="0" w:space="0" w:color="auto"/>
                                                <w:right w:val="none" w:sz="0" w:space="0" w:color="auto"/>
                                              </w:divBdr>
                                            </w:div>
                                            <w:div w:id="951478936">
                                              <w:marLeft w:val="0"/>
                                              <w:marRight w:val="0"/>
                                              <w:marTop w:val="0"/>
                                              <w:marBottom w:val="0"/>
                                              <w:divBdr>
                                                <w:top w:val="none" w:sz="0" w:space="0" w:color="auto"/>
                                                <w:left w:val="none" w:sz="0" w:space="0" w:color="auto"/>
                                                <w:bottom w:val="none" w:sz="0" w:space="0" w:color="auto"/>
                                                <w:right w:val="none" w:sz="0" w:space="0" w:color="auto"/>
                                              </w:divBdr>
                                            </w:div>
                                            <w:div w:id="1111051365">
                                              <w:marLeft w:val="0"/>
                                              <w:marRight w:val="0"/>
                                              <w:marTop w:val="0"/>
                                              <w:marBottom w:val="0"/>
                                              <w:divBdr>
                                                <w:top w:val="none" w:sz="0" w:space="0" w:color="auto"/>
                                                <w:left w:val="none" w:sz="0" w:space="0" w:color="auto"/>
                                                <w:bottom w:val="none" w:sz="0" w:space="0" w:color="auto"/>
                                                <w:right w:val="none" w:sz="0" w:space="0" w:color="auto"/>
                                              </w:divBdr>
                                            </w:div>
                                            <w:div w:id="1751659148">
                                              <w:marLeft w:val="0"/>
                                              <w:marRight w:val="0"/>
                                              <w:marTop w:val="0"/>
                                              <w:marBottom w:val="0"/>
                                              <w:divBdr>
                                                <w:top w:val="none" w:sz="0" w:space="0" w:color="auto"/>
                                                <w:left w:val="none" w:sz="0" w:space="0" w:color="auto"/>
                                                <w:bottom w:val="none" w:sz="0" w:space="0" w:color="auto"/>
                                                <w:right w:val="none" w:sz="0" w:space="0" w:color="auto"/>
                                              </w:divBdr>
                                            </w:div>
                                            <w:div w:id="1907378174">
                                              <w:marLeft w:val="0"/>
                                              <w:marRight w:val="0"/>
                                              <w:marTop w:val="0"/>
                                              <w:marBottom w:val="0"/>
                                              <w:divBdr>
                                                <w:top w:val="none" w:sz="0" w:space="0" w:color="auto"/>
                                                <w:left w:val="none" w:sz="0" w:space="0" w:color="auto"/>
                                                <w:bottom w:val="none" w:sz="0" w:space="0" w:color="auto"/>
                                                <w:right w:val="none" w:sz="0" w:space="0" w:color="auto"/>
                                              </w:divBdr>
                                            </w:div>
                                            <w:div w:id="1960333315">
                                              <w:marLeft w:val="0"/>
                                              <w:marRight w:val="0"/>
                                              <w:marTop w:val="0"/>
                                              <w:marBottom w:val="0"/>
                                              <w:divBdr>
                                                <w:top w:val="none" w:sz="0" w:space="0" w:color="auto"/>
                                                <w:left w:val="none" w:sz="0" w:space="0" w:color="auto"/>
                                                <w:bottom w:val="none" w:sz="0" w:space="0" w:color="auto"/>
                                                <w:right w:val="none" w:sz="0" w:space="0" w:color="auto"/>
                                              </w:divBdr>
                                            </w:div>
                                            <w:div w:id="1962999891">
                                              <w:marLeft w:val="0"/>
                                              <w:marRight w:val="0"/>
                                              <w:marTop w:val="0"/>
                                              <w:marBottom w:val="0"/>
                                              <w:divBdr>
                                                <w:top w:val="none" w:sz="0" w:space="0" w:color="auto"/>
                                                <w:left w:val="none" w:sz="0" w:space="0" w:color="auto"/>
                                                <w:bottom w:val="none" w:sz="0" w:space="0" w:color="auto"/>
                                                <w:right w:val="none" w:sz="0" w:space="0" w:color="auto"/>
                                              </w:divBdr>
                                            </w:div>
                                            <w:div w:id="2129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339097">
      <w:bodyDiv w:val="1"/>
      <w:marLeft w:val="0"/>
      <w:marRight w:val="0"/>
      <w:marTop w:val="0"/>
      <w:marBottom w:val="0"/>
      <w:divBdr>
        <w:top w:val="none" w:sz="0" w:space="0" w:color="auto"/>
        <w:left w:val="none" w:sz="0" w:space="0" w:color="auto"/>
        <w:bottom w:val="none" w:sz="0" w:space="0" w:color="auto"/>
        <w:right w:val="none" w:sz="0" w:space="0" w:color="auto"/>
      </w:divBdr>
    </w:div>
    <w:div w:id="1212577896">
      <w:bodyDiv w:val="1"/>
      <w:marLeft w:val="0"/>
      <w:marRight w:val="0"/>
      <w:marTop w:val="0"/>
      <w:marBottom w:val="0"/>
      <w:divBdr>
        <w:top w:val="none" w:sz="0" w:space="0" w:color="auto"/>
        <w:left w:val="none" w:sz="0" w:space="0" w:color="auto"/>
        <w:bottom w:val="none" w:sz="0" w:space="0" w:color="auto"/>
        <w:right w:val="none" w:sz="0" w:space="0" w:color="auto"/>
      </w:divBdr>
    </w:div>
    <w:div w:id="1952013222">
      <w:bodyDiv w:val="1"/>
      <w:marLeft w:val="0"/>
      <w:marRight w:val="0"/>
      <w:marTop w:val="0"/>
      <w:marBottom w:val="0"/>
      <w:divBdr>
        <w:top w:val="none" w:sz="0" w:space="0" w:color="auto"/>
        <w:left w:val="none" w:sz="0" w:space="0" w:color="auto"/>
        <w:bottom w:val="none" w:sz="0" w:space="0" w:color="auto"/>
        <w:right w:val="none" w:sz="0" w:space="0" w:color="auto"/>
      </w:divBdr>
    </w:div>
    <w:div w:id="2111777105">
      <w:bodyDiv w:val="1"/>
      <w:marLeft w:val="0"/>
      <w:marRight w:val="0"/>
      <w:marTop w:val="0"/>
      <w:marBottom w:val="0"/>
      <w:divBdr>
        <w:top w:val="none" w:sz="0" w:space="0" w:color="auto"/>
        <w:left w:val="none" w:sz="0" w:space="0" w:color="auto"/>
        <w:bottom w:val="none" w:sz="0" w:space="0" w:color="auto"/>
        <w:right w:val="none" w:sz="0" w:space="0" w:color="auto"/>
      </w:divBdr>
      <w:divsChild>
        <w:div w:id="1380396275">
          <w:marLeft w:val="0"/>
          <w:marRight w:val="0"/>
          <w:marTop w:val="0"/>
          <w:marBottom w:val="0"/>
          <w:divBdr>
            <w:top w:val="none" w:sz="0" w:space="0" w:color="auto"/>
            <w:left w:val="none" w:sz="0" w:space="0" w:color="auto"/>
            <w:bottom w:val="none" w:sz="0" w:space="0" w:color="auto"/>
            <w:right w:val="none" w:sz="0" w:space="0" w:color="auto"/>
          </w:divBdr>
        </w:div>
        <w:div w:id="20778945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bec-hermanice.cz" TargetMode="External"/><Relationship Id="rId1" Type="http://schemas.openxmlformats.org/officeDocument/2006/relationships/hyperlink" Target="mailto:obec.hermanice@quick.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TIN~1\LOCALS~1\Temp\TCD244.tmp\Pr&#367;vodn&#237;%20dopis%20s%20platov&#253;mi%20po&#382;adavk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Průvodní dopis s platovými požadavky</Template>
  <TotalTime>19</TotalTime>
  <Pages>5</Pages>
  <Words>1556</Words>
  <Characters>9184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Manager/>
  <Company>Microsoft Corporation</Company>
  <LinksUpToDate>false</LinksUpToDate>
  <CharactersWithSpaces>10719</CharactersWithSpaces>
  <SharedDoc>false</SharedDoc>
  <HLinks>
    <vt:vector size="12" baseType="variant">
      <vt:variant>
        <vt:i4>6094917</vt:i4>
      </vt:variant>
      <vt:variant>
        <vt:i4>3</vt:i4>
      </vt:variant>
      <vt:variant>
        <vt:i4>0</vt:i4>
      </vt:variant>
      <vt:variant>
        <vt:i4>5</vt:i4>
      </vt:variant>
      <vt:variant>
        <vt:lpwstr>http://www.obec-hermanice.cz/</vt:lpwstr>
      </vt:variant>
      <vt:variant>
        <vt:lpwstr/>
      </vt:variant>
      <vt:variant>
        <vt:i4>4259884</vt:i4>
      </vt:variant>
      <vt:variant>
        <vt:i4>0</vt:i4>
      </vt:variant>
      <vt:variant>
        <vt:i4>0</vt:i4>
      </vt:variant>
      <vt:variant>
        <vt:i4>5</vt:i4>
      </vt:variant>
      <vt:variant>
        <vt:lpwstr>mailto:obec.hermanice@quick.cz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uzivatel</cp:lastModifiedBy>
  <cp:revision>6</cp:revision>
  <cp:lastPrinted>2018-05-07T09:22:00Z</cp:lastPrinted>
  <dcterms:created xsi:type="dcterms:W3CDTF">2019-12-10T20:22:00Z</dcterms:created>
  <dcterms:modified xsi:type="dcterms:W3CDTF">2020-01-14T09:43:00Z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TC060914171029</vt:lpwstr>
  </property>
</Properties>
</file>